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1450/2019 vom 7. Januar 2020</w:t>
      </w:r>
    </w:p>
    <w:p>
      <w:r>
        <w:t>Bundesgericht, 2020-01-07, FR</w:t>
      </w:r>
    </w:p>
    <w:p>
      <w:r>
        <w:rPr>
          <w:b/>
        </w:rPr>
        <w:t xml:space="preserve">Quelle: </w:t>
      </w:r>
      <w:r>
        <w:t>https://mcp.opencaselaw.ch/entscheid/bger_6B_1450_2019</w:t>
      </w:r>
    </w:p>
    <w:p>
      <w:r>
        <w:t>FR: TF 6B 1450/2019 du 7 janvier 2020</w:t>
      </w:r>
    </w:p>
    <w:p>
      <w:r>
        <w:t>IT: TF 6B 1450/2019 del 7 gennaio 2020</w:t>
      </w:r>
    </w:p>
    <w:p>
      <w:pPr>
        <w:pStyle w:val="Heading2"/>
      </w:pPr>
      <w:r>
        <w:t>Regeste</w:t>
      </w:r>
    </w:p>
    <w:p>
      <w:r>
        <w:t>Violence et menace contre les autorités ou fonctionnaire; actes d'ordre sexuel commis sur une personne incapable de discernement ou de résistance | Infractions</w:t>
      </w:r>
    </w:p>
    <w:p>
      <w:pPr>
        <w:pStyle w:val="Heading2"/>
      </w:pPr>
      <w:r>
        <w:t>Erwägungen</w:t>
      </w:r>
    </w:p>
    <w:p>
      <w:r>
        <w:rPr>
          <w:b/>
        </w:rPr>
        <w:t>E. 1</w:t>
      </w:r>
    </w:p>
    <w:p>
      <w:r>
        <w:t>Par jugement du 9 septembre 2019, la Cour d'appel pénale du Tribunal cantonal du canton de Vaud a partiellement admis l'appel formé par A.________ à l'encontre du jugement du Tribunal correctionnel de l'arrondissement de La Côte du 18 février 2019. Elle a libéré le prénommé des chefs de prévention d'injure et de viol, a constaté qu'il s'était rendu coupable d'actes d'ordre sexuel commis sur une personne incapable de discernement ou de résistance, de violence ou menace contre les autorités et les fonctionnaires, d'infraction à Loi fédérale sur les étrangers, de contravention à la Loi fédérale sur les stupéfiants et de contravention à la Loi fédérale sur le transport de voyageurs. Elle a condamné A.________ à une peine privative de liberté de 24 mois, peine partiellement complémentaire à celle prononcée le 24 janvier 2013, ainsi qu'à une amende de 3'000 fr., convertible en 30 jours de peine privative de liberté de substitution en cas de non-paiement fautif de l'amende. Elle a également ordonné l'arrêt du traitement ambulatoire de A.________ et constaté qu'il n'y avait pas de solde de peine. Elle a dit que A.________ était le débiteur de B.________ d'un montant de 1'000 fr. et de C.________ d'un montant de 10'000 fr. à titre de réparation du tort moral et donné acte pour le surplus à C.________ de ses réserves civiles. Ce jugement statue, en outre, sur les frais et dépens des deux instances cantonales. Par acte du 18 décembre 2019, A.________ recourt en matière pénale au Tribunal fédéral à l'encontre de ce jugement. Il requiert le bénéfice de l'assistance judiciaire.</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l'espèce, le recourant conteste la réalisation des infractions d'injure, de violence et menace contre les fonctionnaires et d'actes d'ordre sexuel commis sur une personne incapable de discernement ou de résistance. Ce faisant, il méconnaît qu'il a été libéré de l'infraction d'injure par la cour cantonale, de sorte que cette contestation est sans objet. En ce qui concerne les deux autres infractions dont il a été reconnu coupable, le recourant se limite essentiellement à exposer sa propre version des faits et à renvoyer à la motivation présentée dans son recours cantonal. Ainsi, en rapport avec l'infraction de violence et menace contre les fonctionnaires, il affirme qu'il n'a en aucune manière provoqué la situation ni menacé les deux contrôleurs de train, seule son épouse ayant admis s'être montrée un peu brusque avec eux, et qu'il était très discutable que ceux-ci lui aient retiré son abonnement demi-tarif sans explication. En cela, il ne démontre pas en quoi les juges précédents auraient établi les faits de façon arbitraire, en particulier en ce qu'ils ont retenu que l'intimée B.________ était crédible lorsqu'elle expliquait que le recourant s'était montré agressif et menaçant, la contraignant ainsi, par peur, à lui rendre son abonnement demi-tarif qu'elle lui avait retiré car il était périmé. En lien avec l'infraction d'actes d'ordre sexuel commis sur une personne incapable de discernement ou de résistance, le recourant se contente de nier les faits et de tenter de jeter le discrédit sur l'intimée C.________. Ses développements s'épuisent ainsi en une discussion purement appellatoire et, partant, irrecevable au regard des exigences de motivation rappelées ci-dessus. C'est en vain que l'on recherche dans l'écriture du recourant une critique topique de l'arrêt attaqué, permettant de saisir sur quel point précis et en quoi il considère que la cour cantonale aurait violé le droit. Le recours ne satisfait dès lors pas aux réquisits des art. 42 al. 2 et 106 al. 2 LTF.</w:t>
      </w:r>
    </w:p>
    <w:p>
      <w:r>
        <w:rPr>
          <w:b/>
        </w:rPr>
        <w:t>E. 3</w:t>
      </w:r>
    </w:p>
    <w:p>
      <w:r>
        <w:t>Il s'ensuit que le recours doit être déclaré irrecevable en application de l' art. 108 al. 1 let. b LTF . Comme le recours était dénué de chances de succès, l'assistance judiciaire ne peut être accordée ( art. 64 al. 1 LTF ). Le recourant, qui succombe, supportera les frais judiciaires, dont le montant sera toutefois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