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6B_144/2018 vom 21. März 2019</w:t>
      </w:r>
    </w:p>
    <w:p>
      <w:r>
        <w:t>Bundesgericht, 2019-03-21, DE</w:t>
      </w:r>
    </w:p>
    <w:p>
      <w:r>
        <w:rPr>
          <w:b/>
        </w:rPr>
        <w:t xml:space="preserve">Quelle: </w:t>
      </w:r>
      <w:r>
        <w:t>https://mcp.opencaselaw.ch/entscheid/bger_6B_144_2018</w:t>
      </w:r>
    </w:p>
    <w:p>
      <w:r>
        <w:t>FR: TF 6B_144/2018 du 21 mars 2019</w:t>
      </w:r>
    </w:p>
    <w:p>
      <w:r>
        <w:t>IT: TF 6B_144/2018 del 21 marzo 2019</w:t>
      </w:r>
    </w:p>
    <w:p>
      <w:pPr>
        <w:pStyle w:val="Heading2"/>
      </w:pPr>
      <w:r>
        <w:t>Erwägungen</w:t>
      </w:r>
    </w:p>
    <w:p>
      <w:r>
        <w:rPr>
          <w:b/>
        </w:rPr>
        <w:t>E. 1.1</w:t>
      </w:r>
    </w:p>
    <w:p>
      <w:r>
        <w:t>Der Beschwerdeführer rügt eine Verletzung des Anklagegrundsatzes. Sowohl in der Anklageschrift als auch im angefochtenen Entscheid werde ihm vorgeworfen, die angebliche Tathandlung zu einer "nicht näher bekannten Zeit im Jahre 2005" begangen zu haben. Damit werde der Entlastungsbeweis praktisch verunmöglicht (Beschwerde, S. 11).</w:t>
      </w:r>
    </w:p>
    <w:p>
      <w:r>
        <w:rPr>
          <w:b/>
        </w:rPr>
        <w:t>E. 1.2</w:t>
      </w:r>
    </w:p>
    <w:p>
      <w:r>
        <w:t>Nach dem Anklagegrundsatz ( Art. 9 StPO ) bestimmt die Anklageschrift den Gegenstand des Gerichtsverfahrens (Umgrenzungsfunktion).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w:t>
      </w:r>
    </w:p>
    <w:p>
      <w:r>
        <w:rPr>
          <w:b/>
        </w:rPr>
        <w:t>E. 1.3</w:t>
      </w:r>
    </w:p>
    <w:p>
      <w:r>
        <w:t>In der Anklageschrift führt die Staatsanwaltschaft unter anderem aus, dass Y.________ und der Beschwerdeführer sich zu einer nicht näher bekannten Zeit im Jahre 2005 gemeinsam im Keller des Restaurants Q.________ bei den elektrischen Anlagen befunden hätten. Dort habe der Beschwerdeführer Y.________ sinngemäss gesagt: "Hiä wärs o nid schlächt, we mal e Funke würd keie." In weiteren Gesprächen soll der Beschwerdeführer nicht nur bei Y.________ den Eindruck bestärkt haben, dass er mit einem Brand des alten Gebäudes einverstanden wäre, sondern auch, dass er dafür Fr. 80'000.-- bezahlen würde (kantonale Akten, pag. 834). Im Rahmen der erstinstanzlichen Hauptverhandlung erklärte der Beschwerdeführer, dass das Gespräch im Keller nicht so stattgefunden habe, wie es protokolliert worden sei. Er führte aus, dass im ersten Stock des Restaurants Bauarbeiter logiert hätten. Im Herbst seien sie fort gewesen; B.________ habe die Zimmer aufgeräumt und alles Material im Keller gestapelt. Er selbst sei in den Keller gegangen, weil er die Sicherungen habe herausneh</w:t>
      </w:r>
    </w:p>
    <w:p>
      <w:r>
        <w:rPr>
          <w:b/>
        </w:rPr>
        <w:t>E. 1.4</w:t>
      </w:r>
    </w:p>
    <w:p>
      <w:r>
        <w:t>men wollen. Y.________ sei ihm gefolgt und habe ihn gefragt, ob er nichts dagegen hätte, wenn irgendwann ein Funken fallen würde. Er habe zu ihm gesagt: "Spinnsch, hör uf so dumm ds schnurre." Danach habe er die Sicherungen herausgenommen (erstinstanzliches Urteil, S. 38). Trotz der ungenauen Zeitangabe in der Anklageschrift war der Beschwerdeführer in der Lage, zum Gespräch im Keller detailliert Stellung zu nehmen. Davon, dass ihm der Entlastungsbeweis faktisch verumöglicht worden sei, kann keine Rede sein. Der Anklagegrundsatz ist nicht verletzt.</w:t>
      </w:r>
    </w:p>
    <w:p>
      <w:r>
        <w:rPr>
          <w:b/>
        </w:rPr>
        <w:t>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rPr>
          <w:b/>
        </w:rPr>
        <w:t>E. 2.2.1</w:t>
      </w:r>
    </w:p>
    <w:p>
      <w:r>
        <w:t>Im Rahmen seiner Rügen zur Sachverhaltsfeststellung macht der Beschwerdeführer geltend, dass die Vorinstanz ihm während wenigen Minuten nur sechs Fragen zur Sache gestellt habe. Es sei fragwürdig, ob die Vorinstanz auf diese Weise einen zuverlässigen unmittelbaren Eindruck über ihn habe gewinnen können. Auch die Fragestellung in der Urteilsbegründung zeige, wie voreingenommen die Vorinstanz gewesen sei. So stelle sie sich nicht die Frage, ob er eine Rolle bei der Brandstiftung gehabt habe, sondern welche seine Rolle gewesen sei. Es sei mithin für die Vorinstanz zum Vornherein klar gewesen, dass er beim Brand beteiligt gewesen sei. Diese vom Beschwerdeführer vorgebrachten Umstände sind weder geeignet, die Vorinstanz als voreingenommen noch deren Sachverhaltsfeststellung als willkürlich erscheinen zu lassen.</w:t>
      </w:r>
    </w:p>
    <w:p>
      <w:r>
        <w:rPr>
          <w:b/>
        </w:rPr>
        <w:t>E. 2.2.2</w:t>
      </w:r>
    </w:p>
    <w:p>
      <w:r>
        <w:t>Die weiteren Rügen des Beschwerdeführers zur vorinstanzlichen Sachverhaltsfeststellung (Beschwerde, S. 5 bis 11) erschöpfen sich in appellatorischer Kritik, worauf nicht einzutreten ist.</w:t>
      </w:r>
    </w:p>
    <w:p>
      <w:r>
        <w:rPr>
          <w:b/>
        </w:rPr>
        <w:t>E. 3.1</w:t>
      </w:r>
    </w:p>
    <w:p>
      <w:r>
        <w:t>Der Beschwerdeführer rügt, dass die Vorinstanz bei der Strafzumessung auf Weisungen der Staatsanwaltschaft abstelle. Dies sei rechtsstaatlich bedenklich und zeige sogleich, dass die Vorinstanz nicht in der Lage sei, unabhängig zu entscheiden. Ausserdem würden die erwähnten Weisungen der Staatsanwaltschaft gegen das Legalitätsprinzip verstossen, zumal das Strafgesetzbuch und die bundesgerichtliche Rechtsprechung klar vorsehen, wie die Strafzumessung zu erfolgen habe (Beschwerde, S. 11 f.).</w:t>
      </w:r>
    </w:p>
    <w:p>
      <w:r>
        <w:rPr>
          <w:b/>
        </w:rPr>
        <w:t>E. 3.2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t>In Literatur und Richtlinien angegebene Strafmasse können nur als Orientierungshilfe herangezogen werden und sind für das Gericht nicht verbindlich (Urteile 6B_316/2017 vom 7. Juni 2017 E. 3; 6B_375/2014 vom 28. August 2014 E. 2.3; je mit Hinweisen).</w:t>
      </w:r>
    </w:p>
    <w:p>
      <w:r>
        <w:t>Die Vorinstanz berücksichtigt die Richtlinien des Verbands Bernischer Richter und Richterinnen, Staatsanwältinnen und Staatsanwälte (VBRS-Richtlinien) sowie eine Weisung der Generalstaatsanwaltschaft vom 25. November 2010 lediglich bei der objektiven Tatkomponente des Betrugs. Bei sämtlichen anderen Tatkomponenten sowie bei den Täterkomponenten blieben diese Richtlinien unerwähnt. Es ist nicht zu erkennen, dass die VBRS-Richtlinien und die Weisung der Generalstaatsanwaltschaft für die Vorinstanz eine Bedeutung gehabt hätten, die über diejenige einer blossen Orientierungshilfe hinausgegangen wäre. Die Rüge ist unbegründet.</w:t>
      </w:r>
    </w:p>
    <w:p>
      <w:r>
        <w:rPr>
          <w:b/>
        </w:rPr>
        <w:t>E. 4</w:t>
      </w:r>
    </w:p>
    <w:p>
      <w:r>
        <w:t>Die Beschwerde ist abzuweisen, soweit darauf eingetreten werden kann. Die Kosten sind dem unterliegenden Beschwerdeführer aufzuerlegen ( Art. 66 Abs. 1 BGG ).</w:t>
      </w:r>
    </w:p>
    <w:p>
      <w:r>
        <w:t>Eine Aufforderung an die Beschwerdegegnerinnen zur Einreichung einer Vernehmlassung erfolgte bloss zum Antrag um aufschiebende Wirkung. Einzig die Beschwerdegegnerin 3 äusserte sich und beantragte, das Gesuch sei abzuweisen. Sie unterlag in diesem Punkt und hat deshalb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