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6B_1449/2020 vom 4. Februar 2021</w:t>
      </w:r>
    </w:p>
    <w:p>
      <w:r>
        <w:t>Bundesgericht, 2021-02-04, DE</w:t>
      </w:r>
    </w:p>
    <w:p>
      <w:r>
        <w:rPr>
          <w:b/>
        </w:rPr>
        <w:t xml:space="preserve">Quelle: </w:t>
      </w:r>
      <w:r>
        <w:t>https://mcp.opencaselaw.ch/entscheid/bger_6B_1449_2020</w:t>
      </w:r>
    </w:p>
    <w:p>
      <w:r>
        <w:t>FR: TF 6B_1449/2020 du 4 février 2021</w:t>
      </w:r>
    </w:p>
    <w:p>
      <w:r>
        <w:t>IT: TF 6B_1449/2020 del 4 febbraio 2021</w:t>
      </w:r>
    </w:p>
    <w:p>
      <w:pPr>
        <w:pStyle w:val="Heading2"/>
      </w:pPr>
      <w:r>
        <w:t>Erwägungen</w:t>
      </w:r>
    </w:p>
    <w:p>
      <w:r>
        <w:rPr>
          <w:b/>
        </w:rPr>
        <w:t>E. 1</w:t>
      </w:r>
    </w:p>
    <w:p>
      <w:r>
        <w:t>Nach einer Strafanzeige gegen einen Rechtsanwalt wegen angeblichen Betrugs, Prozessbetrugs und Verstössen gegen die Standesehre der Rechtsanwälte nahm die Regionale Staatsanwaltschaft Bern-Mittelland die vom Beschwerdeführer angestrebte Strafuntersuchung am 3. November 2020 nicht an die Hand. Die dagegen gerichtete Beschwerde wies das Obergericht des Kantons Bern am 15. Dezember 2020 ab. Der Beschwerdeführer wendet sich mit Beschwerde an das Bundesgericht.</w:t>
      </w:r>
    </w:p>
    <w:p>
      <w:r>
        <w:rPr>
          <w:b/>
        </w:rPr>
        <w:t>E. 2</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3</w:t>
      </w:r>
    </w:p>
    <w:p>
      <w:r>
        <w:t>Der Beschwerdeführer äussert sich in seiner Eingabe nicht zur Beschwerdelegitimation. Er benennt keinerlei konkrete Forderung und zeigt auch nicht auf, aus welchen Gründen sich der angefochtene Entscheid inwiefern auf welche Zivilforderungen auswirken könnte. Er setzt sich auch nicht rechtsgenüglich mit den Erwägungen des angefochtenen Entscheids auseinander. Stattdessen schildert er seine eigene Sicht auf die Sach- und Rechtslage, indem er zusammengefasst ausführt, der beschuldigte Rechtsanwalt habe Rechtsverstösse nicht erkannt, eine offensichtlich falsche Einschätzung des Falles vorgenommen und dies schriftlich auch eingeräumt, sich aber dennoch geweigert, zumindest die Hälfte seines Honorars zurückzuerstatten. Den Ausführungen des Beschwerdeführers lässt sich entnehmen, dass er mit der Mandatsführung des fraglichen Rechtsanwalts nicht zufrieden ist. Indessen ergibt sich daraus nichts, was auf ein strafbares Verhalten des Anwalts hindeuten würde. Wie die Vorinstanz richtig erkennt, handelt es sich um eine zivilrechtliche Angelegenheit, die nicht über das Strafrecht geltend zu machen ist. Inwiefern das Strafverfahren zu Unrecht nicht an die Hand genommen worden sein soll und die Vorinstanz mit ihrem Beschluss Recht im Sinne von Art. 95 BGG verletzt haben könnte, vermag der Beschwerdeführer nicht aufzuzeigen. Insbesondere begründet er seine Vorwürfe ("Verstösse gegen die Beweiswürdigung, gegen ein faires Verfahren, gegen den Gleichheitsgrundsatz") nicht substanziiert. Dasselbe gilt, soweit er "den Richter" als unfähig und voreingenommen beschreibt. Die Beschwerde genügt den gesetzlichen Begründungsanforderungen offensichtlich nicht ( Art. 42 Abs. 2 BGG und Art. 106 Abs. 2 BGG ). Darauf ist im Verfahren nach Art. 108 BGG nicht einzutreten.</w:t>
      </w:r>
    </w:p>
    <w:p>
      <w:r>
        <w:rPr>
          <w:b/>
        </w:rPr>
        <w:t>E. 4</w:t>
      </w:r>
    </w:p>
    <w:p>
      <w:r>
        <w:t>Bei diesem Ausgang des Verfahrens trägt der Beschwerdeführer die Gerichtskosten ( Art. 66 Abs. 1 BGG ). Bei deren Bemessung ist seiner finanziellen Lage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