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6B_1447/2019 vom 20. Januar 2020</w:t>
      </w:r>
    </w:p>
    <w:p>
      <w:r>
        <w:t>Bundesgericht, 2020-01-20, FR</w:t>
      </w:r>
    </w:p>
    <w:p>
      <w:r>
        <w:rPr>
          <w:b/>
        </w:rPr>
        <w:t xml:space="preserve">Quelle: </w:t>
      </w:r>
      <w:r>
        <w:t>https://mcp.opencaselaw.ch/entscheid/bger_6B_1447_2019</w:t>
      </w:r>
    </w:p>
    <w:p>
      <w:r>
        <w:t>FR: TF 6B_1447/2019 du 20 janvier 2020</w:t>
      </w:r>
    </w:p>
    <w:p>
      <w:r>
        <w:t>IT: TF 6B_1447/2019 del 20 gennaio 2020</w:t>
      </w:r>
    </w:p>
    <w:p>
      <w:pPr>
        <w:pStyle w:val="Heading2"/>
      </w:pPr>
      <w:r>
        <w:t>Erwägungen</w:t>
      </w:r>
    </w:p>
    <w:p>
      <w:r>
        <w:rPr>
          <w:b/>
        </w:rPr>
        <w:t>E. 1</w:t>
      </w:r>
    </w:p>
    <w:p>
      <w:r>
        <w:t>Par arrêt du 18 novembre 2019, la Chambre pénale de recours de la Cour de justice de la République et canton de Genève a rejeté dans la mesure de sa recevabilité le recours formé par A.________ contre l'ordonnance du 12 juin 2019 par laquelle le Ministère public genevois a refusé d'entrer en matière sur la plainte de la prénommée contre B.________ et C.________.</w:t>
      </w:r>
    </w:p>
    <w:p>
      <w:r>
        <w:t>En substance, la cour cantonale a estimé que A.________ n'était pas lésée s'agissant des infractions de violation du secret professionnel et de faux rapport en justice et qu'elle ne disposait, par conséquent, pas de la qualité pour recourir concernant ces infractions. Quant aux infractions de diffamation et calomnie, si tant était que les appréciations des experts B.________ et C.________ fussent attentatoires à l'honneur de A.________, elles avaient été émises dans le cadre d'un mandat judiciaire si bien qu'elles étaient couvertes par l' art. 14 CP . Concernant les infractions de contrainte et de violation du devoir d'assistance et d'éducation, A.________ ne développait pas suffisamment ses griefs pour permettre à la cour cantonale de comprendre la manière dont les experts les auraient commises. Enfin, la demande de récusation des procureurs D.________ et E.________ n'avait pas d'objet, ceux-ci n'étant pas en charge de la procédure.</w:t>
      </w:r>
    </w:p>
    <w:p>
      <w:r>
        <w:t>A.________ forme un recours en matière pénale au Tribunal fédéral contre l'arrêt du 18 novembre 2019. En substance, elle conclut à son annulation et à celle de l'ordonnance de non-entrée en matière, à ce qu'ordre soit donné au Ministère public genevois de reprendre l'instruction par un autre procureur, en particulier qu'il procède à l'audition de différentes personnes et à diverses mesures d'instruction énumérées. Subsidiairement, elle conclut à l'annulation de l'arrêt attaqué et au renvoi de la cause à l'autorité précédente pour nouvelle décision au sens des considérants. Elle requiert, par ailleurs, l'octroi de l'assistance judiciaire et la désignation de Me F.________ en qualité d'avocat d'office.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6B_1188/2019 du 17 octobre 2019 consid. 3.1; 6B_1043/2019 du 26 septembre 2019 consid. 2.1; 6B_959/2019 du 17 septembre 2019 consid. 2.1).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2.2</w:t>
      </w:r>
    </w:p>
    <w:p>
      <w:r>
        <w:t>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89 et 115 consid. 2 p. 116; 134 II 244 consid. 2.1 p. 245); en particulier, la motivation doit être topique, c'est-à-dire se rapporter à la question juridique tranchée par l'autorité cantonale ( ATF 123 V 335 ; parmi de nombreux autres: arrêt 6B_1450/2019 du 7 janvier 2020 consid. 2). Par ailleurs, le Tribunal fédéral n'examine la violation de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2.3</w:t>
      </w:r>
    </w:p>
    <w:p>
      <w:r>
        <w:t>S'agissant des infractions de diffamation et calomnie, la recourante ne se détermine nullement sur un éventuel tort moral ou dommage, ni sur leur principe ni sur leur quotité. L'absence d'explications sur la question des prétentions civiles exclut sa qualité pour recourir sur le fond de la cause pour ces infractions. Pour le surplus, la recourante prétend à une violation de son droit d'être entendue et à la commission d'un déni de justice. Elle ne consacre toutefois aucune motivation à cette critique qui permettrait de comprendre en quoi tel serait le cas. En outre, dans la mesure où la recourante reproche à la cour cantonale de ne pas avoir donné suite à ses réquisitions de preuve, ses développements ne visent qu'à démontrer en quoi ces mesures seraient nécessaires afin d'établir ses accusations. Elle ne fait ainsi valoir aucun moyen qui peut être séparé du fond et ses griefs ne sauraient non plus fonder sa qualité pour recourir.</w:t>
      </w:r>
    </w:p>
    <w:p>
      <w:r>
        <w:t>Quant aux autres infractions, on cherche en vain dans l'écriture de la recourante une critique topique permettant de saisir en quoi elle considère que l'irrecevabilité de son recours cantonal sur ces points violerait le droit.</w:t>
      </w:r>
    </w:p>
    <w:p>
      <w:r>
        <w:t>Enfin, la recourante semble réitérer sa demande de récusation des procureurs D.________ et E.________. Toutefois, elle n'expose pas en quoi la cour cantonale aurait violé le droit en déclarant sa demande sans objet au motif que ces magistrats n'étaient pas en charge du dossier en cause.</w:t>
      </w:r>
    </w:p>
    <w:p>
      <w:r>
        <w:t>Le recours ne satisfait dès lors pas aux réquisits des art. 42 al. 2 et 106 al. 2 LTF.</w:t>
      </w:r>
    </w:p>
    <w:p>
      <w:r>
        <w:rPr>
          <w:b/>
        </w:rPr>
        <w:t>E. 3</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6B_1204/2019 du 14 novembre 2019 consid. 3; 6B_983/2019 du 5 novembre 2019 consid. 3;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6B_1204/2019 précité consid. 3; 6B_13/2015 précité consid. 3 et les références citées). Au vu du sort du recours, cette seconde condition n'est pas réalisée et il y a lieu de rejeter la demande de désignation d'un avocat et d'assistance judiciaire de la recourante.</w:t>
      </w:r>
    </w:p>
    <w:p>
      <w:r>
        <w:rPr>
          <w:b/>
        </w:rPr>
        <w:t>E. 4</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de justice,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