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6B_1446/2021 vom 9. Dezember 2022</w:t>
      </w:r>
    </w:p>
    <w:p>
      <w:r>
        <w:t>Bundesgericht, 2022-12-09, FR</w:t>
      </w:r>
    </w:p>
    <w:p>
      <w:r>
        <w:rPr>
          <w:b/>
        </w:rPr>
        <w:t xml:space="preserve">Quelle: </w:t>
      </w:r>
      <w:r>
        <w:t>https://mcp.opencaselaw.ch/entscheid/bger_6B_1446_2021</w:t>
      </w:r>
    </w:p>
    <w:p>
      <w:r>
        <w:t>FR: TF 6B_1446/2021 du 9 décembre 2022</w:t>
      </w:r>
    </w:p>
    <w:p>
      <w:r>
        <w:t>IT: TF 6B_1446/2021 del 9 dicembre 2022</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w:t>
      </w:r>
    </w:p>
    <w:p>
      <w:r>
        <w:t>Le Tribunal fédéral examine d'office ( art. 29 al. 1 LTF ) et contrôle librement la recevabilité des recours qui lui sont soumis ( ATF 147 IV 453 consid. 1).</w:t>
      </w:r>
    </w:p>
    <w:p>
      <w:r>
        <w:rPr>
          <w:b/>
        </w:rPr>
        <w:t>E. 2.1</w:t>
      </w:r>
    </w:p>
    <w:p>
      <w:r>
        <w:t>Le recours est en principe recevable quant à son objet puisqu'il est dirigé contre une décision portant sur la révision d'un jugement en matière pénale ( art. 78 al. 1 LTF ), qui revêt en l'occurrence un caractère final ( art. 90 LTF ) et qui émane de la Cour d'appel du Tribunal pénal fédéral (art. 80 al. 1</w:t>
      </w:r>
    </w:p>
    <w:p>
      <w:r>
        <w:t>in fine LTF).</w:t>
      </w:r>
    </w:p>
    <w:p>
      <w:r>
        <w:rPr>
          <w:b/>
        </w:rPr>
        <w:t>E. 2.2</w:t>
      </w:r>
    </w:p>
    <w:p>
      <w:r>
        <w:t>Dès lors que le recourant a pris part à la procédure devant la Cour d'appel du Tribunal pénal fédéral ( art. 81 al. 1 let. a LTF ) et que ses conclusions tendant à la révision du jugement du 20 novembre 2017 ont été rejetées ( art. 81 al. 1 let. b LTF ), il y a lieu d'admettre qu'il a qualité pour recourir au Tribunal fédéral.</w:t>
      </w:r>
    </w:p>
    <w:p>
      <w:r>
        <w:rPr>
          <w:b/>
        </w:rPr>
        <w:t>E. 2.3</w:t>
      </w:r>
    </w:p>
    <w:p>
      <w:r>
        <w:t>Les griefs soulevés par le recourant contre le jugement du 20 novembre 2017 sont irrecevables, dès lors que seule la décision attaquée fait l'objet du recours au Tribunal fédéral ( art. 80 al. 1 LTF ).</w:t>
      </w:r>
    </w:p>
    <w:p>
      <w:r>
        <w:rPr>
          <w:b/>
        </w:rPr>
        <w:t>E. 2.4</w:t>
      </w:r>
    </w:p>
    <w:p>
      <w:r>
        <w:t>La démarche du recourant consistant à se référer à la motivation de sa demande de révision du 4 octobre 2021 est irrecevable dans la mesure où dite motivation ne figure pas dans son recours au Tribunal fédéral ( art. 42 al. 2 LTF ; ATF 143 II 283 consid. 1.2.3).</w:t>
      </w:r>
    </w:p>
    <w:p>
      <w:r>
        <w:rPr>
          <w:b/>
        </w:rPr>
        <w:t>E. 2.5</w:t>
      </w:r>
    </w:p>
    <w:p>
      <w:r>
        <w:t>Le recourant conclut à la mise en oeuvre d'une expertise, dont le but serait de démontrer qu'il n'était pas en mesure de voyager lors des débats des 9 et 23 octobre 2017. Il n'y a pas lieu de donner suite à cette requête, les conditions exceptionnelles pour prononcer une mesure probatoire devant le Tribunal fédéral n'étant manifestement pas réunies ( art. 55 LTF ; ATF 136 II 101 consid. 2).</w:t>
      </w:r>
    </w:p>
    <w:p>
      <w:r>
        <w:rPr>
          <w:b/>
        </w:rPr>
        <w:t>E. 3</w:t>
      </w:r>
    </w:p>
    <w:p>
      <w:r>
        <w:t>Le recourant se plaint de la violation de son droit d'être entendu et d'un déni de justice formel.</w:t>
      </w:r>
    </w:p>
    <w:p>
      <w:r>
        <w:rPr>
          <w:b/>
        </w:rPr>
        <w:t>E. 3.1.1</w:t>
      </w:r>
    </w:p>
    <w:p>
      <w:r>
        <w:t>Le recourant estime que l'autorité précédente aurait dû tenir compte du courrier du 20 avril 2021 (cf.</w:t>
      </w:r>
    </w:p>
    <w:p>
      <w:r>
        <w:t>supra consid. C.b) comme motif de révision, à tout le moins qu'elle aurait dû expliquer pourquoi elle ne l'a pas fait.</w:t>
      </w:r>
    </w:p>
    <w:p>
      <w:r>
        <w:rPr>
          <w:b/>
        </w:rPr>
        <w:t>E. 3.1.2</w:t>
      </w:r>
    </w:p>
    <w:p>
      <w:r>
        <w:t>L'autorité qui ne traite pas un grief relevant de sa compétence, motivé de façon suffisante et pertinent pour l'issue du litige, commet un déni de justice formel proscrit par l' art. 29 al. 1 Cst. ( ATF 142 II 154 consid. 4.2; 135 I 6 consid. 2.1).</w:t>
      </w:r>
    </w:p>
    <w:p>
      <w:r>
        <w:rPr>
          <w:b/>
        </w:rPr>
        <w:t>E. 3.1.3</w:t>
      </w:r>
    </w:p>
    <w:p>
      <w:r>
        <w:t>L'autorité précédente fait référence au courrier du 20 avril 2021 dans les faits retenus à l'appui de sa décision mais n'y accorde aucun développement dans sa partie en droit. Pourtant, dans ses déterminations du 21 novembre 2021 (mais pas dans sa demande de révision), le recourant relève qu'il s'agit d'un second motif de révision. Dans la mesure où il ne peut d'emblée être exclu qu'il s'agisse d'une pièce pertinente et importante, l'autorité précédente ne pouvait faire l'économie de se prononcer à son propos. Faute de l'avoir fait, elle a violé les droits du recourant, de sorte que son grief doit être admis. La décision attaquée doit être annulée dans cette mesure et la cause renvoyée à l'autorité précédente pour nouvelle décision. Il lui incombera en particulier d'examiner si cette pièce est recevable et, pour autant que ce soit le cas, si elle constitue un motif de révision.</w:t>
      </w:r>
    </w:p>
    <w:p>
      <w:r>
        <w:rPr>
          <w:b/>
        </w:rPr>
        <w:t>E. 3.2.1</w:t>
      </w:r>
    </w:p>
    <w:p>
      <w:r>
        <w:t>Le recourant reproche à l'autorité précédente d'avoir rendu sa décision avant la fin du délai imparti à son défenseur pour se déterminer.</w:t>
      </w:r>
    </w:p>
    <w:p>
      <w:r>
        <w:rPr>
          <w:b/>
        </w:rPr>
        <w:t>E. 3.2.2</w:t>
      </w:r>
    </w:p>
    <w:p>
      <w:r>
        <w:t>Compris comme l'un des aspects de la notion générale de procès équitable (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w:t>
      </w:r>
    </w:p>
    <w:p>
      <w:r>
        <w:t>ibidem ).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6B_1012/2020 du 8 avril 2021 consid. 1.1).</w:t>
      </w:r>
    </w:p>
    <w:p>
      <w:r>
        <w:rPr>
          <w:b/>
        </w:rPr>
        <w:t>E. 3.2.3</w:t>
      </w:r>
    </w:p>
    <w:p>
      <w:r>
        <w:t>Le courrier du 20 avril 2021 a été transmis au recourant et à son défenseur le 28 octobre 2021 (pièce 3.100.001). Le recourant s'est déterminé à son propos le 21 novembre 2021 (pièce 3.100.019). Dites déterminations ont été transmises à son défenseur le 29 novembre 2021, avec l'indication qu'il pouvait se déterminer à leur propos dans un délai de 10 jours à compter de sa réception (pièce 2.100.023). Le 1er décembre 2021, après avoir reçu copie des déterminations spontanées de son mandant, le défenseur a répliqué, en précisant : "</w:t>
      </w:r>
    </w:p>
    <w:p>
      <w:r>
        <w:t>Il se limite à revenir sur les points relevés par le Ministère public central ainsi que par la Cour des affaires pénales du Tribunal pénal fédéral " (pièce 2.100.026). Jugeant ainsi que tant le recourant que son défenseur avaient eu l'occasion de se déterminer sur tous les actes pertinents, l'autorité précédente a rendu sa décision le 7 décembre 2021, avant l'échéance du délai de 10 jours.</w:t>
      </w:r>
    </w:p>
    <w:p>
      <w:r>
        <w:rPr>
          <w:b/>
        </w:rPr>
        <w:t>E. 3.2.4</w:t>
      </w:r>
    </w:p>
    <w:p>
      <w:r>
        <w:t>Le grief du recourant est infondé en tant qu'il soutient que son défenseur n'a pas eu l'occasion de se déterminer sur le courrier du 20 avril 2021, puisqu'il a disposé de plus d'un mois pour le faire, étant précisé que le délai de 10 jours fixé le 29 novembre 2021 portait uniquement sur les déterminations spontanées du recourant, et non sur le courrier du 20 avril 2021 (pièce 2.100.023).</w:t>
      </w:r>
    </w:p>
    <w:p>
      <w:r>
        <w:rPr>
          <w:b/>
        </w:rPr>
        <w:t>E. 3.2.5</w:t>
      </w:r>
    </w:p>
    <w:p>
      <w:r>
        <w:t>Quant au fait que l'autorité précédente ait rendu sa décision avant l'échéance du délai de 10 jours, on ne décèle pas qu'elle aurait violé le droit d'être entendu du recourant, puisque son défenseur s'est déterminé dans ce délai, après avoir reçu les déterminations spontanées de son mandant, sans pour autant réserver des déterminations complémentaires. Il est encore relevé, sans que cette question ne doive être tranchée, qu'il apparaît douteux que le recourant puisse invoquer une violation de son droit d'être entendu du simple fait que son défenseur n'a pas pu se prononcer sur ses propres déterminations. Dans tous les cas, comme l'a relevé l'autorité précédente à l'appui de son courrier du 13 décembre 2021, on ne perçoit pas que les déterminations du défenseur auraient pu influer sur le sort de la décision attaquée, le motif de révision faisant manifes-tement défaut (cf.</w:t>
      </w:r>
    </w:p>
    <w:p>
      <w:r>
        <w:t>infra consid. 5).</w:t>
      </w:r>
    </w:p>
    <w:p>
      <w:r>
        <w:rPr>
          <w:b/>
        </w:rPr>
        <w:t>E. 3.3.1</w:t>
      </w:r>
    </w:p>
    <w:p>
      <w:r>
        <w:t>Le recourant estime que la décision attaquée n'est pas suffisamment motivée quant à l'absence de tout motif de révision.</w:t>
      </w:r>
    </w:p>
    <w:p>
      <w:r>
        <w:rPr>
          <w:b/>
        </w:rPr>
        <w:t>E. 3.3.2</w:t>
      </w:r>
    </w:p>
    <w:p>
      <w:r>
        <w:t>Le droit d'être entendu, garanti par les art. 3 al. 2 let . c CPP, 29 al. 2 Cst. et 6 par. 1 CEDH, implique, pour l'autorité, l'obligation de motiver sa décision, afin que le destinataire puisse la comprendre,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146 II 335 consid. 5.1; 143 IV 40 consid. 3.4.3). Il n'a toutefois pas l'obligation d'exposer et de discuter tous les faits, moyens de preuve et griefs invoqués par les parties, mais peut se limiter à l'examen des questions décisives pour l'issue du litige ( ATF 147 IV 249 consid. 2.4; 142 II 154 consid. 4.2; 139 IV 179 consid. 2.2).</w:t>
      </w:r>
    </w:p>
    <w:p>
      <w:r>
        <w:rPr>
          <w:b/>
        </w:rPr>
        <w:t>E. 3.3.3</w:t>
      </w:r>
    </w:p>
    <w:p>
      <w:r>
        <w:t>L'autorité précédente a dûment exposé, au consid. 3.3.2 de sa décision, pourquoi elle a retenu que le certificat médical du 18 juin 2021 ne constituait pas un motif de révision et pourquoi, même si ce devait être le cas, il ne serait pas de nature à la convaincre. Cette motivation est suffisante pour comprendre ces raisons et pour permettre au recourant d'attaquer utilement la décision, laquelle satisfait dès lors aux exigences de motivation déduites du droit d'être entendu. Mal fondé, le grief doit être rejeté.</w:t>
      </w:r>
    </w:p>
    <w:p>
      <w:r>
        <w:rPr>
          <w:b/>
        </w:rPr>
        <w:t>E. 4</w:t>
      </w:r>
    </w:p>
    <w:p>
      <w:r>
        <w:t>Invoquant une violation de l' art. 410 al. 1 let. a CPP et l'arbitraire dans l'appréciation des preuves, le recourant s'en prend à la double motivation de l'autorité précédente ayant conduit au rejet de sa demande de révision.</w:t>
      </w:r>
    </w:p>
    <w:p>
      <w:r>
        <w:rPr>
          <w:b/>
        </w:rPr>
        <w:t>E. 4.1.1</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plus récemment : arrêt 6B_32/2022 du 5 mai 2022 consid. 1.3). Le Tribunal fédéral ne revoit par conséquent cette question que sous l'angle de l'arbitraire (</w:t>
      </w:r>
    </w:p>
    <w:p>
      <w:r>
        <w:t>ibidem ).</w:t>
      </w:r>
    </w:p>
    <w:p>
      <w:r>
        <w:rPr>
          <w:b/>
        </w:rPr>
        <w:t>E. 4.1.2</w:t>
      </w:r>
    </w:p>
    <w:p>
      <w:r>
        <w:t>En matière pénale, de nouveaux documents médicaux ou une nouvelle expertise peuvent donner lieu à une révision s'ils permettent d'établir que les faits retenus dans le premier jugement étaient faux ou imprécis. Une nouvelle expertise concluant à une appréciation différente ne constitue toutefois pas déjà une cause de révision. Elle doit s'écarter de la première expertise pour des motifs sérieux et établir des erreurs claires de nature à ébranler le fondement du premier jugement ( ATF 137 IV 59 consid. 5.1.2; arrêts 6B_763/2021 du 15 septembre 2021 consid. 3; 6B_1451/2019 du 11 juin 2020 consid. 2.3). Une expertise pourra aussi être considérée comme un moyen de preuve nouveau si elle se fonde sur de nouvelles connaissances, applique une autre méthode ou est établie sur la base de faits nouvellement découverts mais préexistants (</w:t>
      </w:r>
    </w:p>
    <w:p>
      <w:r>
        <w:t>ibidem ). Ainsi, la nouvelle évaluation d'un trouble psychiatrique conduisant à un diagnostic différent ne constitue pas un motif de révision si, pour l'essentiel, les constatations médicales sous-jacentes sont les mêmes ( ATF 144 IV 321 consid. 3.2). Tant que le nouvel avis médical ne fait qu'interpréter différemment un état de santé et que l'appréciation antérieure de celui-ci reste défendable, il n'existe pas de motif de révision au sens de l' art. 410 al. 1 let. a CPP (arrêts 6B_763/2021 précité consid. 3). Il peut également être renvoyé à la jurisprudence rendue en lien avec l' art. 65 al. 2 CP , laquelle fait état d'une approche identique ( ATF 145 IV 383 consid. 2.3; arrêt 6B_1192/2016 du 9 novembre 2017 consid. 4, non publié in ATF 143 IV 445 ).</w:t>
      </w:r>
    </w:p>
    <w:p>
      <w:r>
        <w:rPr>
          <w:b/>
        </w:rPr>
        <w:t>E. 4.2</w:t>
      </w:r>
    </w:p>
    <w:p>
      <w:r>
        <w:t>Principalement, l'autorité précédente a retenu que le certificat médical du 18 juin 2021, établi postérieurement au jugement du 20 novembre 2017, consistait uniquement en un commentaire de deux certificats médicaux qui existaient déjà lors de la procédure de première instance et qui avait déjà fait l'objet d'une appréciation circonstanciée, raison pour laquelle elle a jugé qu'il ne constituait pas un motif de révision au sens de l' art. 410 al. 1 let. a CPP . Indépendamment de ce qui précède, elle a également relevé que le Dr B.________, auteur du certificat médical en cause, ne traitait pas le recourant avant le 8 décembre 2020 et ainsi, n'avait aucune connaissance directe de son état au moment déterminant. Pour ces raisons, l'autorité précédente a jugé que le certificat médical ne permettait pas de la convaincre que le recourant était bien dans l'incapacité d'assister aux débats.</w:t>
      </w:r>
    </w:p>
    <w:p>
      <w:r>
        <w:rPr>
          <w:b/>
        </w:rPr>
        <w:t>E. 4.3</w:t>
      </w:r>
    </w:p>
    <w:p>
      <w:r>
        <w:t>À l'appui du certificat médical du 18 juin 2021, le Dr B.________ se contente de répéter le diagnostic autrefois posé, de dire qu'il peut aisément concevoir que le recourant n'était pas en mesure de voyager ("</w:t>
      </w:r>
    </w:p>
    <w:p>
      <w:r>
        <w:t>Aus diesem Grund ist es für mich gut nachvollziehbar, dass der Patient damals Ende Oktober aus medizinischen Gründen nicht behandlungsfähig war, bzw. aufgrund der Lungenembolie auch keine Flugreise antreten durfte ") et, pour le surplus, de faire référence au certificat médical rédigé par le Dr D.________ en 2017. En revanche, il n'explique pas en quoi l'appréciation du tribunal de première instance serait erronée, ne prétend pas avoir basé son appréciation médicale sur de nouvelles connaissances ou après application d'une autre méthode et n'invoque aucun fait nouvellement découvert mais préexistant. Par ailleurs, il ne soutient pas de manière affirmative qu'il aurait constaté lui-même que le recourant ne pouvait pas participer aux débats, préférant au contraire dire qu'il pouvait aisément le concevoir. Rien dans ses explications ne permet de conclure que l'appréciation divergente du tribunal de première instance, au demeurant basée sur d'autres éléments non médicaux, ne serait pas défendable. Partant, c'est à juste titre que l'autorité précédente a exclu que le certificat médical du 18 juin 2021 constituât un motif de révision au sens de l' art. 410 al. 1 let. a CPP .</w:t>
      </w:r>
    </w:p>
    <w:p>
      <w:r>
        <w:rPr>
          <w:b/>
        </w:rPr>
        <w:t>E. 4.4</w:t>
      </w:r>
    </w:p>
    <w:p>
      <w:r>
        <w:t>Dans la mesure où ce qui précède suffit pour confirmer le rejet de la demande de révision du recourant, il convient de rejeter ses autres griefs tirés de l'arbitraire dans l'appréciation des faits.</w:t>
      </w:r>
    </w:p>
    <w:p>
      <w:r>
        <w:rPr>
          <w:b/>
        </w:rPr>
        <w:t>E. 5</w:t>
      </w:r>
    </w:p>
    <w:p>
      <w:r>
        <w:t>Le recours doit être partiellement admis (cf.</w:t>
      </w:r>
    </w:p>
    <w:p>
      <w:r>
        <w:t>supra consid. 3.1.3). La requête d'assistance judiciaire est sans objet dans la mesure où le recourant obtient gain de cause et n'a pas à supporter des frais à ce propos. Pour le reste, elle doit être rejetée dès lors que le recours était dénué de chances de succès s'agissant des aspects sur lesquels la recourante a succombé ( art. 64 al. 1 LTF ). Dans cette mesure, le recourant supportera des frais réduits en raison de l'issue de la procédure (66 al. 1 LTF). Le recourant, qui a procédé sans l'assistance d'un avocat, n'a pas droit à des dépens ( art. 68 al. 1 LTF ; ATF 133 III 439 consid. 4).</w:t>
      </w:r>
    </w:p>
    <w:p>
      <w:r>
        <w:t>Il peut être procédé au renvoi sans ordonner préalablement un échange d'écritures. En effet, vu la nature procédurale du vice examiné, le Tribunal fédéral n'a pas traité la cause sur le fond et n'a ainsi pas préjugé de son issue ( ATF 133 IV 293 consid. 3.4.2; arrêt 6B_370/2022 du 16 août 2022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