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6B_1441/2020 vom 8. Oktober 2021</w:t>
      </w:r>
    </w:p>
    <w:p>
      <w:r>
        <w:t>Bundesgericht, 2021-10-08, FR</w:t>
      </w:r>
    </w:p>
    <w:p>
      <w:r>
        <w:rPr>
          <w:b/>
        </w:rPr>
        <w:t xml:space="preserve">Quelle: </w:t>
      </w:r>
      <w:r>
        <w:t>https://mcp.opencaselaw.ch/entscheid/bger_6B_1441_2020</w:t>
      </w:r>
    </w:p>
    <w:p>
      <w:r>
        <w:t>FR: TF 6B_1441/2020 du 8 octobre 2021</w:t>
      </w:r>
    </w:p>
    <w:p>
      <w:r>
        <w:t>IT: TF 6B_1441/2020 del 8 ottobre 2021</w:t>
      </w:r>
    </w:p>
    <w:p>
      <w:pPr>
        <w:pStyle w:val="Heading2"/>
      </w:pPr>
      <w:r>
        <w:t>Erwägungen</w:t>
      </w:r>
    </w:p>
    <w:p>
      <w:r>
        <w:rPr>
          <w:b/>
        </w:rPr>
        <w:t>E. 1</w:t>
      </w:r>
    </w:p>
    <w:p>
      <w:r>
        <w:t>La recourante reproche à la cour cantonale d'avoir constaté les faits de manière arbitraire et violé le principe "in dubio pro reo". Elle lui reproche également d'avoir rendu une décision juridiquement erronée, par quoi l'on comprend qu'elle se plaint d'une violation de l'art. 5 LGBL/VD, en lien avec l'art. 1 LGBL/VD, pour avoir été reconnue coupable d'une infraction à cette disposition.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cf.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142 III 364 consid. 2.4 et les références citées). Le Tribunal fédéral n'entre en matière sur les moyens fondés sur la violation de droits fondamentaux, dont l'interdiction de l'arbitraire, que s'ils ont été invoqués et motivés de manière précise ( art. 106 al. 2 LTF ; ATF 146 IV 114 consid. 2.1 p. 118; ATF 143 IV 500 consid. 1.1 p. 503). Les critiques de nature appellatoire sont irrecevables ( ATF 146 IV 114 consid. 2.1 p. 118; 145 IV 154 consid. 1.1 p. 156).</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1.3</w:t>
      </w:r>
    </w:p>
    <w:p>
      <w:r>
        <w:t>Lorsque, comme en l'espèce, le recours en matière pénale est dirigé contre une décision d'une autorité de dernière instance cantonale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 6B_211/2021 du 2 août 2021 consid. 1.1 et les arrêts cités).</w:t>
      </w:r>
    </w:p>
    <w:p>
      <w:r>
        <w:rPr>
          <w:b/>
        </w:rPr>
        <w:t>E. 1.4</w:t>
      </w:r>
    </w:p>
    <w:p>
      <w:r>
        <w:t>A teneur de l'art. 1 al. 1 LGBL, le bailleur ou son représentant qui reçoit, à raison du bail, des espèces à titre de garantie doit les déposer dans les 10 jours, sur un livret établi au nom du locataire par un établissement soumis à la loi fédérale sur les banques et les caisses d'épargne, du 8 novembre 1934, ayant son siège ou une agence dans le canton de Vaud ou par un autre établissement autorisé par le département en charge du logement. Le livret doit être déposé dans l'un de ces établissements.</w:t>
      </w:r>
    </w:p>
    <w:p>
      <w:r>
        <w:t>Selon l'art. 5 de cette même loi cantonale, celui qui contrevient aux dispositions de la présente loi est passible d'une amende pouvant aller jusqu'à deux mille francs (al. 1). Lorsqu'une infraction a été commise dans la gestion d'une personne morale, d'une société de personnes dépourvue de la personnalité juridique ou d'une maison à raison individuelle, les sanctions sont applicables aux personnes qui ont agi ou auraient dû agir en son nom (al. 4).</w:t>
      </w:r>
    </w:p>
    <w:p>
      <w:r>
        <w:t>La violation du droit cantonal ne constitue pas un grief recevable devant le Tribunal fédéral (cf. art. 95 LTF</w:t>
      </w:r>
    </w:p>
    <w:p>
      <w:r>
        <w:t>a contrario ) et celui-ci n'en examine l'application que sous l'angle de l'arbitraire ( art. 9 Cst. ; cf. encore récemment: arrêts 6B_922/2021 du 24 septembre 2021 consid. 2; 2C_695/2021 du 20 septembre 2021 consid. 4.1), ce qui suppose, dans ce contexte également, qu'un tel moyen ait été invoqué et motivé par le recourant ( art. 106 al. 2 LTF ). Le moyen doit donc avoir été expressément soulevé et exposé de manière claire et détaillée ( ATF 146 IV 114 consid. 2.1 p. 118; ATF 143 IV 500 consid. 1.1 p. 503).</w:t>
      </w:r>
    </w:p>
    <w:p>
      <w:r>
        <w:rPr>
          <w:b/>
        </w:rPr>
        <w:t>E. 1.5</w:t>
      </w:r>
    </w:p>
    <w:p>
      <w:r>
        <w:t>En l'espèce, la cour cantonale a écarté l'argumentation soulevée devant elle par la recourante en retenant, en substance, que les dispositions statutaires (art. 13 et 16) de B.________ invoquées par elle ne lui permettaient, pas, quoi qu'elle en dise, d'agir comme elle l'avait fait. En outre, dès lors que C.________ avait versé le montant convenu à titre de garantie directement en main de la bailleresse, cette dernière, respectivement la recourante, devait le déposer sur un livret établi au nom du locataire dans un établissement répondant aux exigences fixées par la LGBL/VD. Dès lors qu'elle n'avait rien fait et laissé ce montant sur un compte ordinaire dont B.________ était seule titulaire, c'était à juste titre que le premier juge avait considéré que la recourante s'était rendue coupable de contravention à l'art. 5 LGBL pour avoir enfreint l'art. 1 de cette même loi. Le montant de l'amende, à savoir 1'000 fr. apparaissait adéquat et correspondait à la faute commise, si bien qu'elle pouvait être confirmée, de même de la peine privative de liberté de substitution de 10 jours en cas d'absence de paiement fautive. La cour cantonale a dès lors rejeté l'appel et confirmé le jugement de première instance.</w:t>
      </w:r>
    </w:p>
    <w:p>
      <w:r>
        <w:t>Bien que la recourante reproche à la cour cantonale d'avoir arbitrairement passé sous silence le fait que C.________ avait demandé à être coopératrice de B.________, la motivation cantonale permet aisément de comprendre que ce point a été pris en compte et que le juge précédent a expressément écarté l'argumentation que la recourante essayait d'en tirer en lien avec l'art. 13 des Statuts de B.________, concernant la souscription de parts sociales. Le grief d'arbitraire dans l'établissement des faits qu'elle soulève à cet égard s'avère ainsi mal fondé. Elle ne démontre pas non plus en quoi la situation financière de la locataire, dont elle se prévaut, aurait été arbitrairement passée sous silence. Quant au grief qu'elle soulève en lien avec le principe "in dubio pro reo", il ne revêt pas, en l'occurrence, de portée propre.</w:t>
      </w:r>
    </w:p>
    <w:p>
      <w:r>
        <w:t>Sur le fond, la recourante critique certes les motifs de sa condamnation, mais l'on ne discerne toutefois pas, dans son mémoire, une quelconque argumentation, conforme aux strictes exigences en la matière ( art. 106 al. 2 LTF ), destinée à démontrer en quoi la cour cantonale aurait arbitrairement appliqué l'art. 5 LGBL. C'est en vain, quoi qu'il en soit, qu'elle souligne ne jamais avoir eu de dessein de s'approprier la garantie de loyer. L'infraction retenue à son encontre ne se rapporte pas à un tel comportement, mais au fait de ne pas verser le montant en cause sur un compte idoine. En tout état, on ne saurait qualifier d'insoutenable, respectivement d'arbitraire, la motivation cantonale.</w:t>
      </w:r>
    </w:p>
    <w:p>
      <w:r>
        <w:t>Enfin, il ne ressort pas du jugement attaqué que la recourante aurait soulevé devant la cour cantonale les arguments tirés des art. 21 CP , 52 CP et 106 al. 3 CP, s'agissant de l'erreur de droit et de l'exemption de peine qu'elle invoque dans son mémoire fédéral, ou en ce qui concerne de la quotité de la peine prononcée à son encontre dont elle se plaint. Ce pan de son argumentation et les griefs correspondants s'avèrent ainsi irrecevables (cf. art. 80 al. 1 LTF ). Il n'apparaît pas, au demeurant, en ce qui concerne la quotité de la peine, que la cour cantonale aurait abusé du large pouvoir d'appréciation dont elle dispose en la matière, en vérifiant d'office ce point.</w:t>
      </w:r>
    </w:p>
    <w:p>
      <w:r>
        <w:rPr>
          <w:b/>
        </w:rPr>
        <w:t>E. 2</w:t>
      </w:r>
    </w:p>
    <w:p>
      <w:r>
        <w:t>Au vu de ce qui précède, le recours doit être rejeté dans la mesure où il est recevable. La recourante, qui succombe, doit supporter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