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6B_1440/2017 vom 23. Januar 2018</w:t>
      </w:r>
    </w:p>
    <w:p>
      <w:r>
        <w:t>Bundesgericht, 2018-01-23, FR</w:t>
      </w:r>
    </w:p>
    <w:p>
      <w:r>
        <w:rPr>
          <w:b/>
        </w:rPr>
        <w:t xml:space="preserve">Quelle: </w:t>
      </w:r>
      <w:r>
        <w:t>https://mcp.opencaselaw.ch/entscheid/bger_6B_1440_2017</w:t>
      </w:r>
    </w:p>
    <w:p>
      <w:r>
        <w:t>FR: TF 6B_1440/2017 du 23 janvier 2018</w:t>
      </w:r>
    </w:p>
    <w:p>
      <w:r>
        <w:t>IT: TF 6B_1440/2017 del 23 gennaio 2018</w:t>
      </w:r>
    </w:p>
    <w:p>
      <w:pPr>
        <w:pStyle w:val="Heading2"/>
      </w:pPr>
      <w:r>
        <w:t>Erwägungen</w:t>
      </w:r>
    </w:p>
    <w:p>
      <w:r>
        <w:rPr>
          <w:b/>
        </w:rPr>
        <w:t>E. 1</w:t>
      </w:r>
    </w:p>
    <w:p>
      <w:r>
        <w:t>Par arrêt du 21 novembre 2017, la Chambre pénale de recours de la Cour de justice de la République et canton de Genève a rejeté le recours de X.________ contre l'ordonnance de non-entrée en matière rendue le 28 août 2017 sur sa plainte contre l'établissement pénitentiaire d'A.________ pour " défaut de soins ", sa santé y ayant été prétendument mise en péril. La chambre cantonale a considéré que X.________ se plaignait à tort de n'avoir pas eu accès au dossier, lequel n'était pas accordé aux parties avant le prononcé d'une ordonnance de non-entrée en matière; il suffisait que leur droit d'être entendu soit assuré dans le cadre de la procédure de recours. Sur le fond, la juridiction cantonale a considéré qu'il ne ressortait pas du dossier, en particulier ni des constats établis par le service des urgences de l'Hôpital B.________ - auprès duquel X.________ avait été transféré à deux reprises depuis l'établissement pénitentiaire d'A.________ - ni des déclarations des docteurs C.________ et D.________ - médecins d'A.________ -, que le détenu se soit trouvé, à un moment ou un autre, en danger de mort ou en danger grave et imminent, que ce soit en raison de sa blessure à la cuisse ou de son intoxication médicamenteuse du 12 juillet 2016. L'ordonnance de non-entrée en matière ne souffrait aucune critique, la prise en charge médicale de X.________ apparaissant avoir été adéquate.</w:t>
      </w:r>
    </w:p>
    <w:p>
      <w:r>
        <w:rPr>
          <w:b/>
        </w:rPr>
        <w:t>E. 2</w:t>
      </w:r>
    </w:p>
    <w:p>
      <w:r>
        <w:t>X.________ recourt en matière pénale au Tribunal fédéral contre cet arrêt.</w:t>
      </w:r>
    </w:p>
    <w:p>
      <w:r>
        <w:rPr>
          <w:b/>
        </w:rPr>
        <w:t>E. 2.1</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Vu le sort du recours, il n'est pas indispensable d'examiner si le recourant aurait été victime in casu de traitements inhumains et dégradants.</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t>En bref et pour l'essentiel, le recourant reproche à la juridiction cantonale d'avoir ignoré qu'à la suite d'une déchirure de " grade 3 " des adducteurs de la jambe droite survenue le 4 juillet 2016, la prise en charge - selon lui - inadéquate de son cas par le service médical d'A.________ aurait entraîné une aggravation de son état de santé et de ses souffrances aboutissant à la prescription d'importantes doses de morphine et d'anti-inflammatoires, ainsi qu'à une hospitalisation et à un arrêt de travail de plusieurs jours. Ce faisant, le recourant ne se détermine pas sur les motifs cantonaux susmentionnés (cf. supra consid. 1), dont il ne démontre pas en quoi ceux-ci violeraient le droit. En particulier, il n'explique pas en quoi la juridiction cantonale aurait opéré par arbitraire dans la constatation des faits et l'appréciation des preuves, en particulier qu'elle aurait déduit des considérations insoutenables des constats établis par le service des urgences de l'Hôpital B.________ ou des déclarations des docteurs C.________ et D.________. Il ne fait ainsi valoir aucun grief susceptible de mettre valablement en cause les constatations factuelles, se bornant à développer une motivation appellatoire. Il ne formule pas non plus de grief recevable quant à l'application du droit. Notamment, il ne développe aucune critique répondant aux réquisits de recevabilité formelle prévues à l' art. 106 al. 2 LTF s'agissant d'un supposé déni de justice ou d'une prétendue violation de son droit d'être entendu. Son argumentaire est ainsi clairement insuffisant au regard des exigences minimales de motivation d'un recours en matière pénale au Tribunal fédéral (cf. art. 42 al. 1 - 2 et 106 al. 2 LTF).</w:t>
      </w:r>
    </w:p>
    <w:p>
      <w:r>
        <w:rPr>
          <w:b/>
        </w:rPr>
        <w:t>E. 3</w:t>
      </w:r>
    </w:p>
    <w:p>
      <w:r>
        <w:t>Sur le vu de ce qui précède, le recours doit être déclaré irrecevable selon la procédure simplifiée prévue par l' art. 108 al. 1 let. b LTF . 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Le recourant,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