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143/2013 vom 11. März 2013</w:t>
      </w:r>
    </w:p>
    <w:p>
      <w:r>
        <w:t>Bundesgericht, 2013-03-11, DE</w:t>
      </w:r>
    </w:p>
    <w:p>
      <w:r>
        <w:rPr>
          <w:b/>
        </w:rPr>
        <w:t xml:space="preserve">Quelle: </w:t>
      </w:r>
      <w:r>
        <w:t>https://mcp.opencaselaw.ch/entscheid/bger_6B_143_2013</w:t>
      </w:r>
    </w:p>
    <w:p>
      <w:r>
        <w:t>FR: TF 6B 143/2013 du 11 mars 2013</w:t>
      </w:r>
    </w:p>
    <w:p>
      <w:r>
        <w:t>IT: TF 6B 143/2013 del 11 marzo 2013</w:t>
      </w:r>
    </w:p>
    <w:p>
      <w:pPr>
        <w:pStyle w:val="Heading2"/>
      </w:pPr>
      <w:r>
        <w:t>Regeste</w:t>
      </w:r>
    </w:p>
    <w:p>
      <w:r>
        <w:t>Nichtanhandnahme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Florhofgasse 2, 8001 Zürich,</w:t>
      </w:r>
    </w:p>
    <w:p>
      <w:r>
        <w:rPr>
          <w:b/>
        </w:rPr>
        <w:t>E. 2</w:t>
      </w:r>
    </w:p>
    <w:p>
      <w:r>
        <w:t>Auf die Beschwerde ist im Verfahren nach Art. 108 BGG nicht einzutreten. Bei diesem Ausgang des Verfahrens wird der Beschwerdeführer kostenpflichtig ( Art. 66 Abs. 1 BGG ). Er hat ein Gesuch um unentgeltliche Rechtspflege und Verbeiständung gestellt, welches abzuweisen ist, da die Beschwerde aussichtslos war ( Art. 64 Abs. 1 BGG ). Den ungünstigen finanziellen Verhältnissen des Beschwerdeführers ist bei der Festsetzung der Gerichtsgebühr Rechnung zu tragen.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