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1439/2017 vom 5. Februar 2018</w:t>
      </w:r>
    </w:p>
    <w:p>
      <w:r>
        <w:t>Bundesgericht, 2018-02-05, DE</w:t>
      </w:r>
    </w:p>
    <w:p>
      <w:r>
        <w:rPr>
          <w:b/>
        </w:rPr>
        <w:t xml:space="preserve">Quelle: </w:t>
      </w:r>
      <w:r>
        <w:t>https://mcp.opencaselaw.ch/entscheid/bger_6B_1439_2017</w:t>
      </w:r>
    </w:p>
    <w:p>
      <w:r>
        <w:t>FR: TF 6B 1439/2017 du 5 février 2018</w:t>
      </w:r>
    </w:p>
    <w:p>
      <w:r>
        <w:t>IT: TF 6B 1439/2017 del 5 febbraio 2018</w:t>
      </w:r>
    </w:p>
    <w:p>
      <w:pPr>
        <w:pStyle w:val="Heading2"/>
      </w:pPr>
      <w:r>
        <w:t>Regeste</w:t>
      </w:r>
    </w:p>
    <w:p>
      <w:r>
        <w:t>Verletzung der Verkehrsregeln; Nichteintreten auf Einsprache infolge Verspätung | Straftaten</w:t>
      </w:r>
    </w:p>
    <w:p>
      <w:pPr>
        <w:pStyle w:val="Heading2"/>
      </w:pPr>
      <w:r>
        <w:t>Erwägungen</w:t>
      </w:r>
    </w:p>
    <w:p>
      <w:r>
        <w:rPr>
          <w:b/>
        </w:rPr>
        <w:t>E. 1</w:t>
      </w:r>
    </w:p>
    <w:p>
      <w:r>
        <w:t>Die Beschwerdeführerin wurde mit Strafbefehl vom 8. August 2017 wegen Verletzung der Verkehrsregeln mit Fr. 60.-- gebüsst. Die Auslagen und Gebühr von insgesamt Fr. 208.60 wurden der Beschwerdeführerin auferlegt. Dagegen erhob die Beschwerdeführerin Einsprache. Das Einzelgericht in Strafsachen trat darauf am 5. September 2017 wegen Verspätung nicht ein. Auf eine dagegen eingereichte Beschwerde trat das Appellationsgericht des Kantons Basel-Stadt am 1. November 2017 ebenfalls wegen Verspätung nicht ein. Die Beschwerdeführerin wendet sich an das Bundesgericht.</w:t>
      </w:r>
    </w:p>
    <w:p>
      <w:r>
        <w:rPr>
          <w:b/>
        </w:rPr>
        <w:t>E. 2</w:t>
      </w:r>
    </w:p>
    <w:p>
      <w:r>
        <w:t>In einer Beschwerde ans Bundesgericht ist unter Bezugnahme auf den angefochtenen Entscheid darzulegen, inwieweit dieser nach Meinung der Beschwerdeführerin gegen das Recht verstossen soll ( Art. 42 Abs. 2 BGG ).</w:t>
      </w:r>
    </w:p>
    <w:p>
      <w:r>
        <w:rPr>
          <w:b/>
        </w:rPr>
        <w:t>E. 3</w:t>
      </w:r>
    </w:p>
    <w:p>
      <w:r>
        <w:t>Im vorliegenden Verfahren kann sich das Bundesgericht nur zur Frage äussern, ob das Appellationsgericht zu Recht auf die Beschwerde wegen Verspätung nicht eingetreten ist. Damit befasst sich die Beschwerdeführerin in ihrer Eingabe vor Bundesgericht mit keinem Wort. Stattdessen stellt sie Anträge, die über den Verfahrensgegenstand hinausgehen, und äussert sich zur materiellen Seite der Angelegenheit der Sache, mit der sich das Bundesgericht nicht befassen kann. Die Beschwerde entspricht den Begründungsanforderungen von Art. 42 Abs. 2 BGG in keiner Weise. Darauf ist im Verfahren nach Art. 108 BGG nicht einzutreten.</w:t>
      </w:r>
    </w:p>
    <w:p>
      <w:r>
        <w:rPr>
          <w:b/>
        </w:rPr>
        <w:t>E. 4</w:t>
      </w:r>
    </w:p>
    <w:p>
      <w:r>
        <w:t>Ausnahmsweise kann auf eine Kostenauflage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