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1434/2017 vom 8. Februar 2018</w:t>
      </w:r>
    </w:p>
    <w:p>
      <w:r>
        <w:t>Bundesgericht, 2018-02-08, FR</w:t>
      </w:r>
    </w:p>
    <w:p>
      <w:r>
        <w:rPr>
          <w:b/>
        </w:rPr>
        <w:t xml:space="preserve">Quelle: </w:t>
      </w:r>
      <w:r>
        <w:t>https://mcp.opencaselaw.ch/entscheid/bger_6B_1434_2017</w:t>
      </w:r>
    </w:p>
    <w:p>
      <w:r>
        <w:t>FR: TF 6B 1434/2017 du 8 février 2018</w:t>
      </w:r>
    </w:p>
    <w:p>
      <w:r>
        <w:t>IT: TF 6B 1434/2017 del 8 febbraio 2018</w:t>
      </w:r>
    </w:p>
    <w:p>
      <w:pPr>
        <w:pStyle w:val="Heading2"/>
      </w:pPr>
      <w:r>
        <w:t>Regeste</w:t>
      </w:r>
    </w:p>
    <w:p>
      <w:r>
        <w:t>Irrecevabilité du recours en matière pénale, recours tardif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la notification de l'expédition complète ( art. 100 al. 1 LTF ). Les mémoires doivent être remis au plus tard le dernier jour du délai, soit au Tribunal fédéral soit, à l'attention de ce dernier, à La Poste Suisse ou à une représentation diplomatique ou consulaire suisse ( art. 48 al. 1 LTF ). En l'espèce, le recourant a reçu notification de l'arrêt attaqué le jeudi 26 octobre 2017, de sorte qu'il disposait d'un délai de recours contre celui-ci échéant le samedi 25 novembre 2017, échéance reportée au premier jour ouvrable suivant (cf. art. 45 al. 1 LTF ), soit au lundi 27 novembre 2017. Posté le 12 décembre 2017, le présent recours est manifestement tardif.</w:t>
      </w:r>
    </w:p>
    <w:p>
      <w:r>
        <w:rPr>
          <w:b/>
        </w:rPr>
        <w:t>E. 2</w:t>
      </w:r>
    </w:p>
    <w:p>
      <w:r>
        <w:t>Sur le vu de ce qui précède, le recours peut être écarté en application de la procédure simplifiée prévue à l' art. 108 al. 1 let. a LTF . Comme les conclusions de celui-ci étaient d'emblée vouées à l'échec, l'assistance judiciaire ne peut pas être accordée ( art. 64 al. 1 LTF ). Le recourant,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