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1426/2020 vom 31. März 2021</w:t>
      </w:r>
    </w:p>
    <w:p>
      <w:r>
        <w:t>Bundesgericht, 2021-03-31, FR</w:t>
      </w:r>
    </w:p>
    <w:p>
      <w:r>
        <w:rPr>
          <w:b/>
        </w:rPr>
        <w:t xml:space="preserve">Quelle: </w:t>
      </w:r>
      <w:r>
        <w:t>https://mcp.opencaselaw.ch/entscheid/bger_6B_1426_2020</w:t>
      </w:r>
    </w:p>
    <w:p>
      <w:r>
        <w:t>FR: TF 6B 1426/2020 du 31 mars 2021</w:t>
      </w:r>
    </w:p>
    <w:p>
      <w:r>
        <w:t>IT: TF 6B 1426/2020 del 31 marzo 2021</w:t>
      </w:r>
    </w:p>
    <w:p>
      <w:pPr>
        <w:pStyle w:val="Heading2"/>
      </w:pPr>
      <w:r>
        <w:t>Regeste</w:t>
      </w:r>
    </w:p>
    <w:p>
      <w:r>
        <w:t>Libération conditionnelle de la mesure d'internement | Droit pénal (en général)</w:t>
      </w:r>
    </w:p>
    <w:p>
      <w:pPr>
        <w:pStyle w:val="Heading2"/>
      </w:pPr>
      <w:r>
        <w:t>Erwägungen</w:t>
      </w:r>
    </w:p>
    <w:p>
      <w:r>
        <w:rPr>
          <w:b/>
        </w:rPr>
        <w:t>E. 1</w:t>
      </w:r>
    </w:p>
    <w:p>
      <w:r>
        <w:t>Le recours en matière pénale est ouvert contre les décisions sur l'exécution de peines et de mesures ( art. 78 al. 2 let. b LTF ).</w:t>
      </w:r>
    </w:p>
    <w:p>
      <w:r>
        <w:rPr>
          <w:b/>
        </w:rPr>
        <w:t>E. 2</w:t>
      </w:r>
    </w:p>
    <w:p>
      <w:r>
        <w:t>Le recourant invoque une violation de l' art. 64a al. 1 CP et du principe de territorialité. Relevant que la libération conditionnelle de l'internement prononcé ne serait, le cas échéant, effective que moyennant une expulsion vers l'Algérie, il reproche aux autorités suisses de " s'immiscer dans la sécurité intérieure de l'Algérie " et de procéder " matériellement à un exercice extra-territorial de la compétence d'exécution ", en violation du droit international public. En outre, s'agissant de la sécurité strictement limitée à l'ordre juridique suisse, il soutient que celle-ci apparaît " suffisamment assurée " dès lors qu'un éventuel retour en zone Schengen après son départ en Algérie ne sera guère possible.</w:t>
      </w:r>
    </w:p>
    <w:p>
      <w:r>
        <w:rPr>
          <w:b/>
        </w:rPr>
        <w:t>E. 2.1</w:t>
      </w:r>
    </w:p>
    <w:p>
      <w:r>
        <w:t>En vertu du principe de territorialité, un État ne peut en principe exercer les prérogatives liées à sa souveraineté - dont le pouvoir répressif - qu'à l'intérieur de son propre territoire (cf. ATF 146 IV 36 consid. 2.2 p. 41 et les références citées, notamment ATF 140 IV 86 consid. 2.4 p. 89; arrêts 6B_282/2019 du 5 avril 2019 consid. 3; 6B_248/2017 du 17 mai 2017 consid. 3.3). Eu égard à ces principes, un État n'est pas non plus habilité à effectuer des mesures d'instruction et de poursuite pénale sur le territoire d'un autre État sans le consentement de ce dernier ( ATF 146 IV 36 consid. 2.2 p. 42 et les références citées, notamment ATF 143 IV 21 consid. 3.2 p. 24; 141 IV 108 consid. 5.3 p. 121). Les États se doivent de respecter réciproquement leur souveraineté. Les actes de puissance publique accomplis par un État ou par ses agents sur le territoire d'un autre sans le consentement de ce dernier sont inadmissibles ( ATF 146 IV 36 consid. 2.2 p. 42 et les références citées, notamment ATF 137 IV 33 consid. 9.4.3 p. 50; 133 I 234 consid. 2.5.1 p. 239) et constituent une atteinte à la souveraineté et à l'intégrité territoriale de l'État concerné, ce qui est une violation du droit international public ( ATF 146 IV 86 consid. 2.4 p. 89; arrêts 6B_282/2019 du 5 avril 2019 consid. 3; 6B_248/2017 du 17 mai 2017 consid. 3.3).</w:t>
      </w:r>
    </w:p>
    <w:p>
      <w:r>
        <w:rPr>
          <w:b/>
        </w:rPr>
        <w:t>E. 2.2</w:t>
      </w:r>
    </w:p>
    <w:p>
      <w:r>
        <w:t>Aux termes de l' art. 3 CP , le Code pénal suisse est applicable à quiconque commet un crime ou un délit en Suisse. Cette disposition consacre le principe de territorialité. Il s'agit du principe de base applicable en droit pénal international, selon lequel la compétence pour connaître d'une infraction ressortit à l'État sur le territoire duquel cette dernière a été commise ( ATF 144 IV 265 consid. 2.3.1 p. 270; 121 IV 145 consid. 2b/bb p. 148 s.; 108 IV 145 consid. 3 p. 146).</w:t>
      </w:r>
    </w:p>
    <w:p>
      <w:r>
        <w:rPr>
          <w:b/>
        </w:rPr>
        <w:t>E. 2.3</w:t>
      </w:r>
    </w:p>
    <w:p>
      <w:r>
        <w:t>Selon l' art. 64a al. 1 CP , l'auteur est libéré conditionnellement de l'internement dès qu'il est à prévoir qu'il se conduira correctement en liberté. Le délai d'épreuve est de deux à cinq ans. Une assistance de probation peut être ordonnée et des règles de conduite peuvent lui être imposées pour la durée de la mise à l'épreuve. La libération conditionnelle de l'internement au sens de l' art. 64a CP dépend d'un pronostic favorable. Elle ne pourra être ordonnée que s'il est hautement vraisemblable que l'intéressé se comportera correctement en liberté ( ATF 142 IV 56 consid. 2.4 p. 62; arrêt 6B_658/2019 du 17 juillet 2019 consid. 4.2). La condition de la prévisibilité d'une conduite correcte en liberté doit être appréciée par rapport aux seules infractions énumérées à l' art. 64 al. 1 CP ( ATF 136 IV 165 consid. 2.1.1 p. 167; arrêt 6B_658/2019 précité consid. 4.2).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 ATF 136 IV 165 consid. 2.1.2 p. 167 et plus récemment arrêt 6B_658/2019 précité consid. 4.2). En matière de pronostic, le principe " in dubio pro reo " ne s'applique pas ( ATF 137 IV 201 consid. 1.2 p. 203; plus récemment arrêt 6B_658/2019 précité consid. 4.2).</w:t>
      </w:r>
    </w:p>
    <w:p>
      <w:r>
        <w:rPr>
          <w:b/>
        </w:rPr>
        <w:t>E. 2.4</w:t>
      </w:r>
    </w:p>
    <w:p>
      <w:r>
        <w:t>La cour cantonale a considéré que, même si une réinsertion en Algérie aurait probablement plus de chances de succès, il n'empêchait qu'au vu du risque élevé de récidive relevé par tous les acteurs du terrain, les conditions d'une libération conditionnelle n'étaient pas réunies. Il n'était ainsi pas possible, en l'état actuel, de considérer comme hautement vraisemblable que le recourant se comporte correctement une fois remis en liberté, sans autre cadre que celui qu'il voudrait bien se donner.</w:t>
      </w:r>
    </w:p>
    <w:p>
      <w:r>
        <w:rPr>
          <w:b/>
        </w:rPr>
        <w:t>E. 2.5</w:t>
      </w:r>
    </w:p>
    <w:p>
      <w:r>
        <w:t>En l'espèce, on ne discerne pas en quoi l'arrêt attaqué violerait le principe de territorialité tel qu'il est prévu à l' art. 3 CP , dès lors que celui-ci concerne l'application du Code pénal suisse à toute personne ayant commis une infraction en Suisse. Par ailleurs, contrairement au recourant, on ne voit pas non plus en quoi l'autorité précédente, en refusant de le libérer conditionnellement d'une mesure qui a été prononcée contre lui par les autorités suisses à la suite d'infractions qu'il a commises sur le territoire suisse, aurait " soumis le contrôle d'agissements de l'État algérien ou de ses agents à un tribunal suisse ", en violation du principe d'égalité des États et d'absence de hiérarchie entre eux (cf. ATF 130 III 136 consid. 2.2 p. 143). Enfin, ce n'est pas parce que l'autorité a examiné de manière générale le risque de récidive, sans se limiter expressément aux seules infractions qui pourraient être commises en Suisse, qu'elle a porté atteinte à la souveraineté de l'État algérien (cf. notamment arrêt 6B_586/2017 du 8 juin 2017 consid. 2). C'est également en vain que le recourant soutient qu'il n'existerait pas de risque de récidive en Suisse dès lors qu'en cas de libération conditionnelle, il serait expulsé vers l'Algérie avec son accord et le Service d'État aux migrations prononcerait en principe une interdiction d'entrée valable pour tout l'espace Schengen, en application de l' art. 67 al. 1 LEI . Il fonde en effet son argumentation sur des éléments qui ne ressortent pas de l'arrêt attaqué, sans démontrer l'arbitraire de leur omission, de sorte que son argumentation apparaît irrecevable. Au demeurant, contrairement à ce que semble penser le recourant, une perspective d'un départ à l'étranger, soit en l'occurrence une éventuelle expulsion du territoire suisse, voire le prononcé d'une éventuelle interdiction d'entrée en Suisse, ne permet pas à elle seule de justifier une libération conditionnelle de l'internement une fois la peine privative de liberté exécutée (cf. arrêt 6B_481/2017 du 15 septembre 2017 consid. 5.7; cf. aussi arrêt 6B_403/2017 du 10 octobre 2017 consid. 2.3). Par ailleurs, il convient de relever que, même si le recourant était soumis à l'obligation de quitter immédiatement la Suisse en cas de libération conditionnelle et qu'il s'était engagé à le faire, on ne peut pas totalement exclure qu'il y revienne par la suite, étant par ailleurs rappelé que l'intéressé a été condamné dans trois États différents pour séjour illégal. Compte tenu de ce qui précède, le grief du recourant doit être rejeté dans la mesure où il est recevable.</w:t>
      </w:r>
    </w:p>
    <w:p>
      <w:r>
        <w:rPr>
          <w:b/>
        </w:rPr>
        <w:t>E. 3</w:t>
      </w:r>
    </w:p>
    <w:p>
      <w:r>
        <w:t>Le recourant reproche à la cour cantonale d'avoir violé l' art. 64b al. 2 CP et invoque un établissement arbitraire des faits.</w:t>
      </w:r>
    </w:p>
    <w:p>
      <w:r>
        <w:rPr>
          <w:b/>
        </w:rPr>
        <w:t>E. 3.1</w:t>
      </w:r>
    </w:p>
    <w:p>
      <w:r>
        <w:t>Aux termes de l' art. 64b al. 1 CP , l'autorité compétente examine, d'office ou sur demande, au moins une fois par an et pour la première fois après une période de deux ans, si l'auteur peut être libéré conditionnellement de l'internement et, si tel est le cas, quand il peut l'être (let. a). Elle examine au moins une fois tous les deux ans et pour la première fois avant le début de l'internement, si les conditions d'un traitement thérapeutique institutionnel sont réunies et qu'une demande en ce sens doit être faite auprès du juge compétent (let. b). Selon l'al. 2 de cette disposition, l'autorité prend la décision selon l'al. 1 en se fondant sur un rapport de la direction de l'établissement (let. a), une expertise indépendante au sens de l' art. 56 al. 4 CP (let. b), l'audition d'une commission au sens de l' art. 62d al. 2 CP (let. c) et l'audition de l'auteur (let. d). Selon la jurisprudence, le juge peut se fonder sur une expertise qui figure déjà au dossier si celle-ci est encore suffisamment actuelle. L'élément déterminant pour trancher de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 ATF 134 IV 246 consid. 4.3 p. 254; plus récemment arrêt 6B_72/2020 du 8 avril 2020 consid. 2.1). Savoir si les circonstances se sont modifiées depuis la première expertise relève du fait ( ATF 106 IV 236 consid. 2a p. 238; plus récemment arrêt 6B_72/2020 précité consid. 2.1). Déterminer si les circonstances nouvelles dûment constatées imposent de réitérer l'expertise est une question d'appréciation, soit de droit ( ATF 105 IV 161 consid. 2 p. 163; arrêt 6B_72/2020 précité consid. 2.1).</w:t>
      </w:r>
    </w:p>
    <w:p>
      <w:r>
        <w:rPr>
          <w:b/>
        </w:rPr>
        <w:t>E. 3.2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146 IV 88 consid. 1.3.1 p. 92; 145 IV 154 consid. 1.1 p. 156).</w:t>
      </w:r>
    </w:p>
    <w:p>
      <w:r>
        <w:rPr>
          <w:b/>
        </w:rPr>
        <w:t>E. 3.3</w:t>
      </w:r>
    </w:p>
    <w:p>
      <w:r>
        <w:t>La cour cantonale a rappelé que l'élément décisif pour admettre une libération conditionnelle de l'internement était le risque de récidive, lequel était en l'occurrence jugé très élevé par tous les acteurs du terrain. Elle a relevé que le recourant semblait évoluer dans sa prise de conscience mais que celle-ci n'en était qu'à ses débuts. En se référant aux deux expertises de 2015 et 2016, elle a retenu qu'il n'était pas possible de garantir qu'il était hautement vraisemblable que le recourant se comporte correctement une fois remis en liberté. Elle s'est également référée au jugement du 8 juin 2018 et a relevé qu'aucun élément nouveau n'était intervenu depuis celui-ci et qu'aucun intervenant n'avait posé un diagnostic différent.</w:t>
      </w:r>
    </w:p>
    <w:p>
      <w:r>
        <w:rPr>
          <w:b/>
        </w:rPr>
        <w:t>E. 3.4</w:t>
      </w:r>
    </w:p>
    <w:p>
      <w:r>
        <w:t>En l'espèce, le recourant reproche d'abord à la cour cantonale de ne citer qu'un élément du rapport du Dr B.________ du 1er août 2015 relatif au risque de récidive, sans mentionner les considérations de l'expert " quant à la personnalité du recourant ainsi qu'à ses chances de traitement ". Ce faisant, il n'expose cependant pas précisément quels faits auraient été arbitrairement omis, de sorte que son grief est irrecevable (art. 106 al 2 LTF).</w:t>
      </w:r>
    </w:p>
    <w:p>
      <w:r>
        <w:rPr>
          <w:b/>
        </w:rPr>
        <w:t>E. 3.5</w:t>
      </w:r>
    </w:p>
    <w:p>
      <w:r>
        <w:t>Le recourant reproche ensuite à la cour cantonale de ne pas avoir mentionné qu'il ressortait du plan de sanction du mois de février 2020 qu'il poursuivait son suivi volontaire en se montrant preneur de cet espace de parole, qu'il adoptait un comportement adéquat en entretien et que l'alliance thérapeutique était en cours de construction. La cour cantonale a retenu que, selon le plan d'exécution de la sanction, seul un maintien au pénitencier des Établissements de la plaine de l'Orbe (EPO) était envisagé. Il ressort cependant de l'arrêt attaqué, en particulier du rapport du Service de médecine et de psychiatrie pénitentiaires du 20 décembre 2019, que le recourant est suivi régulièrement depuis novembre 2019, qu'il sollicite le service médical pour des besoins concrets, qu'il se montre courtois et qu'il se dit prêt à collaborer pour travailler sur sa problématique personnelle. La cour cantonale retient d'ailleurs que le recourant semble évoluer dans sa prise de conscience. Dans ces conditions, le recourant ne parvient pas à démontrer que des éléments de faits auraient été omis de manière arbitraire. Son grief est dès lors rejeté.</w:t>
      </w:r>
    </w:p>
    <w:p>
      <w:r>
        <w:rPr>
          <w:b/>
        </w:rPr>
        <w:t>E. 3.6</w:t>
      </w:r>
    </w:p>
    <w:p>
      <w:r>
        <w:t>Le recourant soutient que, dès lors qu'il a entamé un suivi psychiatrique volontaire depuis plus d'une année, la situation se serait modifiée depuis les deux expertises de 2015 et 2016, de sorte que celles-ci ne seraient plus d'actualité. Contrairement à ce que semble soutenir le recourant, la cour cantonale a bel et bien tenu compte du suivi psychiatrique initié par le recourant dans le cadre de l'examen de la libération conditionnelle. Elle a cependant considéré que la prise de conscience du recourant n'en était qu'à ses débuts, alors qu'il était emprisonné depuis plus de 10 ans. Elle a ainsi retenu en substance que les circonstances ne s'étaient pas modifiées depuis le jugement du 8 juin 2018 et les expertises de 2015 et 2016 sur lesquelles celui-ci s'était fondé et qu'en particulier aucun intervenant n'avait posé un diagnostic différent. Dans son recours, le recourant se contente essentiellement de répéter qu'il a initié un suivi, sans toutefois démontrer en quoi l'appréciation de la cour cantonale serait arbitraire ou violerait le droit fédéral, étant au demeurant rappelé que, d'une part, le risque élevé de récidive retenu dans les expertises de 2015 et 2016 a également été mis en évidence dans l'évaluation criminologique du 20 janvier 2020 et que, d'autre part, plusieurs intervenants, dont l'Office d'exécution des peines dans son préavis négatif du 16 mars 2020, ont relevé qu'un engagement volontaire dans un processus thérapeutique n'en était qu'à ses prémisses, de sorte qu'un pronostic favorable quant au comportement futur du recourant ne pouvait pas être posé. Il s'ensuit que la cour cantonale n'a pas violé le droit fédéral en fondant sa décision sur les expertises de 2015 et de 2016 figurant au dossier. Pour le surplus, c'est en vain que le recourant reproche à la cour cantonale de s'être " fondée " sur le jugement du 8 juin 2018 rendu par le tribunal criminel, au motif qu'il n'appartiendrait pas à cette autorité de " poser un diagnostic médical ". En effet, comme on l'a vu ci-dessus, la cour cantonale n'a pas fondé le refus de la libération conditionnelle sur ce jugement, mais sur les avis convergents des différents intervenants ainsi que sur deux expertises psychiatriques.</w:t>
      </w:r>
    </w:p>
    <w:p>
      <w:r>
        <w:rPr>
          <w:b/>
        </w:rPr>
        <w:t>E. 3.7</w:t>
      </w:r>
    </w:p>
    <w:p>
      <w:r>
        <w:t>Le recourant reproche à la cour cantonale de n'avoir retenu que les conclusions de l'évaluation criminologique du 20 janvier 2020, soit que les niveaux de risques de récidive générale et violente étaient élevés, sans mentionner les facteurs de risque et les facteurs de protection retenus. Or, il soutient qu'il a démontré qu'il pouvait vivre auprès de son père en Algérie, avoir un travail et continuer son suivi psychiatrique, de sorte que, selon lui, les facteurs de risque mentionnés dans l'évaluation du 20 janvier 2020 n'existeraient plus lors de son retour dans son pays natal. La cour cantonale a relevé qu'une insertion en Algérie aurait probablement plus de chances de succès, mais a estimé que, compte tenu du risque de récidive élevé retenu notamment dans les expertises de 2015 et 2016, on ne pouvait pas garantir en l'état qu'il était hautement vraisemblable que le recourant se comporte correctement une fois remis en liberté, sans autre cadre que celui qu'il voudrait bien se donner. Par son argumentation, le recourant se contente à nouveau d'opposer sa propre appréciation à celle de la cour cantonale, en se fondant notamment sur des éléments qui ne ressortent pas de l'arrêt attaqué, sans démontrer en quoi la cour cantonale aurait arbitrairement omis de retenir ceux-ci (cf. art. 97 al. 1 LTF ). Au demeurant, le recourant ne peut être suivi lorsqu'il soutient que les facteurs de risque mentionnés n'existeraient plus s'il vivait en Algérie auprès de son père et y travaillait. En effet, si l'évaluation criminologique du 20 janvier 2020 retient bel et bien la famille comme facteur de protection, les facteurs de risque qui y sont décrits comprennent notamment les antécédents et comportements antisociaux du recourant, son absence de formation, le fait qu'il n'a jamais bénéficié d'une situation professionnelle stable, son absence actuelle de participation à l'atelier en détention ainsi que l'isolement social dans lequel il semble se trouver actuellement (cf. art. 105 al. 2 LTF ; pièce 3/8 du dossier cantonal). Le grief du recourant doit donc être rejeté dans la mesure où il est recevable.</w:t>
      </w:r>
    </w:p>
    <w:p>
      <w:r>
        <w:rPr>
          <w:b/>
        </w:rPr>
        <w:t>E. 3.8</w:t>
      </w:r>
    </w:p>
    <w:p>
      <w:r>
        <w:t>En définitive, compte tenu du risque élevé de récidive encore présenté par le recourant et de l'importance des biens juridiques menacés, la cour cantonale n'a pas violé le droit fédéral en refusant d'accorder au recourant la libération conditionnelle.</w:t>
      </w:r>
    </w:p>
    <w:p>
      <w:r>
        <w:rPr>
          <w:b/>
        </w:rPr>
        <w:t>E. 4</w:t>
      </w:r>
    </w:p>
    <w:p>
      <w:r>
        <w:t>Le recours doit être rejeté dans la mesure où il est recevable. Dès lors que le recourant est dans le besoin et que ses conclusions ne paraissaient pas d'emblée vouées à l'échec, sa requête d'assistance judiciaire doit être admise ( art. 64 al. 1 LTF ).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