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6B_1425/2019 vom 9. Juni 2020</w:t>
      </w:r>
    </w:p>
    <w:p>
      <w:r>
        <w:t>Bundesgericht, 2020-06-09, FR</w:t>
      </w:r>
    </w:p>
    <w:p>
      <w:r>
        <w:rPr>
          <w:b/>
        </w:rPr>
        <w:t xml:space="preserve">Quelle: </w:t>
      </w:r>
      <w:r>
        <w:t>https://mcp.opencaselaw.ch/entscheid/bger_6B_1425_2019</w:t>
      </w:r>
    </w:p>
    <w:p>
      <w:r>
        <w:t>FR: TF 6B_1425/2019 du 9 juin 2020</w:t>
      </w:r>
    </w:p>
    <w:p>
      <w:r>
        <w:t>IT: TF 6B_1425/2019 del 9 giugno 2020</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(cf. parmi d'autres: arrêts 6B_116/2020 du 25 mars 2020 consid. 2.1 et les références citées).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6B_17/2020 du 7 avril 2020 consid. 1.1; 6B_673/2019 du 31 octobre 2019 consid. 1.1; 6B_637/2019 du 8 août 2019 consid. 1.2 et les références citées).</w:t>
      </w:r>
    </w:p>
    <w:p>
      <w:r>
        <w:t>En l'espèce, le recourant fait certes état de souffrances morales découlant des atteintes à l'honneur qu'il dénonce. Toutefois, nonobstant l'atteinte par voie de presse qu'il invoque, le recourant ne fournit aucun élément propre à objectiver ses allégations. Il n'établit pas à satisfaction de droit ( art. 42 al. 2 LTF ) en quoi les souffrances qu'il allègue auraient atteint la gravité objective et subjective que la jurisprudence exige pour l'allocation d'une indemnité pour tort moral. Il s'ensuit que les conditions de l'art. 81 al. 1 let. a et b ch. 5 LTF ne sont pas remplies en l'espèce. Le recourant n'a dès lors pas qualité pour recourir sur le fond de la cause.</w:t>
      </w:r>
    </w:p>
    <w:p>
      <w:r>
        <w:rPr>
          <w:b/>
        </w:rPr>
        <w:t>E. 1.2</w:t>
      </w:r>
    </w:p>
    <w:p>
      <w:r>
        <w:t>L'hypothèse visée à l'art. 81 al. 1 let. b ch. 6 LTF n'entre pas, quant à elle, en considération, le recourant ne soulevant aucun grief relatif à son droit de porter plainte.</w:t>
      </w:r>
    </w:p>
    <w:p>
      <w:r>
        <w:rPr>
          <w:b/>
        </w:rPr>
        <w:t>E. 1.3</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être séparés du fond ( ATF 141 IV 1 consid. 1.1 p. 5). Le recourant ne peut ni critiquer l'appréciation des preuves ni faire valoir que la motivation n'est pas correcte d'un point de vue matériel ( ATF 136 IV 41 consid. 1.4 p. 44 et les références citées; arrêt 6B_1310/2019 du 4 mai 2020 consid. 2).</w:t>
      </w:r>
    </w:p>
    <w:p>
      <w:r>
        <w:t>En l'espèce, le recourant invoque une violation de ses droits de parties équivalent à un déni de justice formel en se référant à l' art. 29 al. 2 Cst. Il invoque également une violation des art. 6, 7 et 310 al. 1 CPP , en lien avec le principe in dubio pro duriore. Force est toutefois de constater que le recourant s'en prend en réalité à la motivation par laquelle la cour cantonale a dénié, à la suite du ministère public, la compétence des autorités judiciaires pénales suisses (cf. art. 3 à 8 CP) - dont le défaut constitue un empêchement de procéder au sens de l' art. 310 al. 1 let. b CPP devant conduire à une non-entrée en matière (arrêt 6B_1335/2018 du 28 février 2019 consid. 4.5.1) -,et qu'il critique également les faits retenus à cet égard. En tant qu'il prétend notamment que ceux-ci ne pouvaient être considérés comme suffisamment clairs pour rendre une ordonnance de non-entrée en matière, le recourant ne soulève aucun grief distinct du fond. Il n'a donc pas non plus qualité pour recourir sous cet angle.</w:t>
      </w:r>
    </w:p>
    <w:p>
      <w:r>
        <w:rPr>
          <w:b/>
        </w:rPr>
        <w:t>E. 2</w:t>
      </w:r>
    </w:p>
    <w:p>
      <w:r>
        <w:t>Compte tenu de ce qui précède, 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