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1421/2019 vom 12. Februar 2020</w:t>
      </w:r>
    </w:p>
    <w:p>
      <w:r>
        <w:t>Bundesgericht, 2020-02-12, FR</w:t>
      </w:r>
    </w:p>
    <w:p>
      <w:r>
        <w:rPr>
          <w:b/>
        </w:rPr>
        <w:t xml:space="preserve">Quelle: </w:t>
      </w:r>
      <w:r>
        <w:t>https://mcp.opencaselaw.ch/entscheid/bger_6B_1421_2019</w:t>
      </w:r>
    </w:p>
    <w:p>
      <w:r>
        <w:t>FR: TF 6B 1421/2019 du 12 février 2020</w:t>
      </w:r>
    </w:p>
    <w:p>
      <w:r>
        <w:t>IT: TF 6B 1421/2019 del 12 febbraio 2020</w:t>
      </w:r>
    </w:p>
    <w:p>
      <w:pPr>
        <w:pStyle w:val="Heading2"/>
      </w:pPr>
      <w:r>
        <w:t>Regeste</w:t>
      </w:r>
    </w:p>
    <w:p>
      <w:r>
        <w:t>Expulsion (art. 66a CP) | Droit pénal (en général)</w:t>
      </w:r>
    </w:p>
    <w:p>
      <w:pPr>
        <w:pStyle w:val="Heading2"/>
      </w:pPr>
      <w:r>
        <w:t>Erwägungen</w:t>
      </w:r>
    </w:p>
    <w:p>
      <w:r>
        <w:rPr>
          <w:b/>
        </w:rPr>
        <w:t>E. 1</w:t>
      </w:r>
    </w:p>
    <w:p>
      <w:r>
        <w:t>Le recourant reproche à la cour cantonale d'avoir ordonné son expulsion du territoire suisse.</w:t>
      </w:r>
    </w:p>
    <w:p>
      <w:r>
        <w:rPr>
          <w:b/>
        </w:rPr>
        <w:t>E. 1.1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w:t>
      </w:r>
    </w:p>
    <w:p>
      <w:r>
        <w:t>En l'espèce, le recourant a commis une infraction à l' art. 19 al. 2 LStup , laquelle tombe sous le coup de l' art. 66a al. 1 let . o CP. Il remplit donc a priori les conditions d'une expulsion, sous la réserve d'une application de l' art. 66a al. 2 CP , voire également des normes de droit international.</w:t>
      </w:r>
    </w:p>
    <w:p>
      <w:r>
        <w:rPr>
          <w:b/>
        </w:rPr>
        <w:t>E. 1.3</w:t>
      </w:r>
    </w:p>
    <w:p>
      <w:r>
        <w:t>La loi ne définit pas ce qu'il faut entendre par une "situation personnelle grave" (première condition cumulative) ni n'indique les critères à prendre en compte dans la pesée des intérêts (seconde condition cumulative).</w:t>
      </w:r>
    </w:p>
    <w:p>
      <w:r>
        <w:rPr>
          <w:b/>
        </w:rPr>
        <w:t>E. 1.3.1</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6B_1024/2019 du 29 janvier 2020 consid. 1.3.2; 6B_1299/2019 du 28 janvier 2019 consid. 3.3).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6B_1218/2019 du 19 décembre 2019 consid. 2.3.1). Une séjour légal de dix années suppose en principe une bonne intégration de l'étranger ( ATF 144 I 266 consid. 3.9 p. 277 s.).</w:t>
      </w:r>
    </w:p>
    <w:p>
      <w:r>
        <w:rPr>
          <w:b/>
        </w:rPr>
        <w:t>E. 1.3.2</w:t>
      </w:r>
    </w:p>
    <w:p>
      <w:r>
        <w:t>La cour cantonale a considéré que l'intégration du recourant en Suisse n'était pas spécialement bonne. L'intéressé vit dans ce pays depuis l'âge de 14 ans et y a accompli la fin de sa scolarité obligatoire. La question de savoir s'il peut se prévaloir d'un droit au respect de sa vie privée, au sens de l' art. 8 par. 1 CEDH , peut être laissée ouverte, car, à supposer que tel soit le cas, l'expulsion pourrait de toute manière être confirmée au regard de l' art. 8 par. 2 CEDH (cf. consid. 1.4.2 infra).</w:t>
      </w:r>
    </w:p>
    <w:p>
      <w:r>
        <w:rPr>
          <w:b/>
        </w:rPr>
        <w:t>E. 1.4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 6B_1045/2019 du 18 octobre 2019 consid. 1.4).</w:t>
      </w:r>
    </w:p>
    <w:p>
      <w:r>
        <w:rPr>
          <w:b/>
        </w:rPr>
        <w:t>E. 1.4.1</w:t>
      </w:r>
    </w:p>
    <w:p>
      <w:r>
        <w:t>La cour cantonale a exposé que la durée du séjour du recourant en Suisse était assez importante. L'intéressé avait travaillé plusieurs années dans ce pays, ce qui ne l'avait pas empêché d'accumuler des dettes pour un montant qu'il n'était pas capable d'évaluer. Avant son arrestation, le recourant émargeait à l'aide sociale. Il avait, par deux fois, fait l'objet de condamnations pénales. En Suisse, le recourant avait des liens avec sa mère, un oncle, une soeur et un frère, alors qu'il n'avait plus qu'une grand-mère en République dominicaine. Il avait travaillé comme peintre en bâtiment, profession dans laquelle il existait sans doute des perspectives dans son pays d'origine, dont il maîtrisait d'ailleurs la langue.</w:t>
      </w:r>
    </w:p>
    <w:p>
      <w:r>
        <w:rPr>
          <w:b/>
        </w:rPr>
        <w:t>E. 1.4.2</w:t>
      </w:r>
    </w:p>
    <w:p>
      <w:r>
        <w:t>En l'espèce, les intérêts présidant à l'expulsion du recourant sont importants, dès lors que celui-ci s'est livré au trafic de stupéfiants. Il y a lieu de relever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Dalia c. France du 19 février 1998, Recueil CourEDH 1998-I 76 § 54; cf. aussi arrêt 6B_1299/2019 précité consid. 3.4.8). Par ailleurs, la peine privative de liberté à laquelle a été condamné le recourant dépasse largement une année, ce qui aurait, cas échéant, pu permettre une révocation de l'autorisation de séjour ou d'établissement sur la base de l' art. 62 al. 1 let. b LEI , respectivement de l' art. 63 al. 1 let. a LEI (cf. ATF 139 I 145 consid. 2.1 p. 147, selon lequel constitue une "peine privative de liberté de longue durée" au sens de l'art. 62 al. 1 let. b LEtr [depuis le 1er janvier 2019: LEI] toute peine dépassant un an d'emprisonnement). Concernant l'intérêt du recourant à pouvoir demeurer en Suisse, il convient de relever que celui-ci dispose dans ce pays de la plupart des membres de sa famille et de son cercle de connaissances. Son intégration socio-professionnelle n'est cependant pas bonne, puisque l'intéressé ne travaille plus et que sa situation financière est obérée. On ne voit pas ce qui ferait obstacle à sa réintégration dans son pays d'origine. Il n'apparaît pas, en particulier, qu'il serait plus difficile, en République dominicaine, de retrouver un emploi de peintre en bâtiment. Le recourant admet d'ailleurs que ses condamnations représentent un obstacle à l'obtention d'une place de travail en Suisse. Enfin, le fait que le recourant prétende désormais s'occuper des membres de sa famille ne saurait occulter le mépris pour l'ordre public suisse que ce dernier a manifesté en s'adonnant au trafic de stupéfiants malgré les sanctions qui lui avaient déjà été infligées par le passé en raison d'autres infractions. Compte tenu de la gravité des infractions commises dans le domaine des stupéfiants, de l'intégration professionnelle médiocre du recourant en Suisse et des possibilités qu'il conserve de se réintégrer dans son pays d'origine - où il ne sera pas privé de toute relation familiale -, l'intérêt public à l'expulsion l'emporte sur l'intérêt privé de l'intéressé à demeurer dans ce pays. L'expulsion, ordonnée pour une durée de cinq ans, s'avère conforme au principe de la proportionnalité découlant des art. 5 al. 2 Cst. et 8 par. 2 CEDH.</w:t>
      </w:r>
    </w:p>
    <w:p>
      <w:r>
        <w:rPr>
          <w:b/>
        </w:rPr>
        <w:t>E. 1.5</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