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6B_1421/2016 vom 5. Oktober 2017</w:t>
      </w:r>
    </w:p>
    <w:p>
      <w:r>
        <w:t>Bundesgericht, 2017-10-05, FR</w:t>
      </w:r>
    </w:p>
    <w:p>
      <w:r>
        <w:rPr>
          <w:b/>
        </w:rPr>
        <w:t xml:space="preserve">Quelle: </w:t>
      </w:r>
      <w:r>
        <w:t>https://mcp.opencaselaw.ch/entscheid/bger_6B_1421_2016</w:t>
      </w:r>
    </w:p>
    <w:p>
      <w:r>
        <w:t>FR: TF 6B_1421/2016 du 5 octobre 2017</w:t>
      </w:r>
    </w:p>
    <w:p>
      <w:r>
        <w:t>IT: TF 6B_1421/2016 del 5 ottobre 2017</w:t>
      </w:r>
    </w:p>
    <w:p>
      <w:pPr>
        <w:pStyle w:val="Heading2"/>
      </w:pPr>
      <w:r>
        <w:t>Erwägungen</w:t>
      </w:r>
    </w:p>
    <w:p>
      <w:r>
        <w:rPr>
          <w:b/>
        </w:rPr>
        <w:t>E. 1</w:t>
      </w:r>
    </w:p>
    <w:p>
      <w:r>
        <w:t>Le recourant s'en prend aux faits retenus par l'instance précédente et à l'appréciation des preuves.</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façon arbitraire ( art. 9 Cst. ; ATF 141 IV 369 consid. 6.3 p. 375; 141 I 49 consid. 3.4 p. 53; 140 III 264 consid. 2.3 p. 266; arrêt 6B_944/2016 du 29 août 2016 consid. 1.1). Une décision n'est pas arbitraire du seul fait qu'elle apparaît discutable ou même critiquable; il faut qu'elle soit manifestement insoutenable, et cela non seulement dans sa motivation, mais aussi dans son résultat ( ATF 141 IV 305 consid. 1.2 p. 308 s.; 141 I 49 consid. 3.4 p. 53).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Lorsque l'appréciation des preuves et la constatation des faits sont critiquées en référence au principe in dubio pro reo, celui-ci n'a pas de portée plus large que l'interdiction de l'arbitraire ( ATF 138 V 74 consid. 7 p. 82; 127 I 38 consid. 2a p. 41).</w:t>
      </w:r>
    </w:p>
    <w:p>
      <w:r>
        <w:rPr>
          <w:b/>
        </w:rPr>
        <w:t>E. 1.2</w:t>
      </w:r>
    </w:p>
    <w:p>
      <w:r>
        <w:t>Dans son mémoire de recours, le recourant développe une argumentation appellatoire et partant largement irrecevable, dans laquelle il rediscute librement l'appréciation des preuves à laquelle s'est livrée la cour cantonale, sans démontrer en quoi celle-ci serait arbitraire. Il soutient principalement que l'instance précédente aurait dû s'écarter de l'expertise, laquelle préconise la poursuite du traitement ambulatoire. Le recourant se réfère au rapport établi par son médecin traitant.</w:t>
      </w:r>
    </w:p>
    <w:p>
      <w:r>
        <w:rPr>
          <w:b/>
        </w:rPr>
        <w:t>E. 1.3</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 ATF 142 IV 49 consid. 2.1.3 p. 53). Cela étant, ce n'est pas à l'expert, mais bien au juge qu'il incombe de résoudre les questions juridiques qui se posent, dans le complexe de faits objet de l'expertise ( ATF 118 Ia 144 consid. 1c et les références citées; arrêt 6B_1297/2015 du 22 mars 2017 consid. 3.1).</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141 IV 369 consid. 6.2 p. 373 s.; arrêt 6B_259/2016 du 21 mars 2017 consid. 5.2). S'agissant du rapport du médecin traitant du prévenu, s'il est vrai que la relation particulière de confiance unissant un patient et son médecin traitant peut influencer l'objectivité ou l'impartialité de celui-ci, elle ne justifie cependant pas en elle-même l'éviction de tous les avis émanant des médecins traitants (cf. ATF 125 V 351 consid. 3b/cc p. 353; arrêt 9C_12/2012 du 20 juillet 2012 consid. 7.1).</w:t>
      </w:r>
    </w:p>
    <w:p>
      <w:r>
        <w:rPr>
          <w:b/>
        </w:rPr>
        <w:t>E. 1.4</w:t>
      </w:r>
    </w:p>
    <w:p>
      <w:r>
        <w:t>En l'espèce, le recourant reproche à l'instance précédente d'avoir retenu qu'il niait les faits à la base de sa condamnation pénale et la souffrance qu'il a causée à ses propres filles. Il soutient qu'il reconnaît la gravité des actes et le fait que ceux-ci étaient " contraires aux intérêts de ses filles ". Son raisonnement ne peut être suivi. En effet, comme le reconnaît le recourant d'ailleurs lui-même, il a toujours nié le caractère sexuel de ses actes et le fait d'avoir agi avec la conscience que ses actes avaient une connotation sexuelle. Selon les experts, le recourant a uniquement retenu de son histoire qu'il n'aurait pas dû prodiguer des massages à ses enfants au-delà de l'âge de 7-8 ans. En revanche, il ne pouvait pas s'envisager dans le rôle de l'agresseur sexuel et rejetait toute la faute sur sa fille aînée, qui aurait mal interprété ses massages.</w:t>
      </w:r>
    </w:p>
    <w:p>
      <w:r>
        <w:rPr>
          <w:b/>
        </w:rPr>
        <w:t>E. 1.5</w:t>
      </w:r>
    </w:p>
    <w:p>
      <w:r>
        <w:t>Le recourant ne saurait davantage être suivi lorsqu'il soutient que les réponses apportées par son médecin traitant, selon lequel un risque de récidive était exclu, ont été " tout bonnement ignorées ou dénigrées ". En effet, comme le retient à juste titre l'instance précédente, dans le cadre de la réalisation de leur expertise, les experts ont pris connaissance du rapport médical du médecin traitant, qu'ils mentionnent d'ailleurs. L'instance précédente a estimé que ce rapport ne venait pas ébranler la crédibilité du rapport d'expertise. A cet égard, on relèvera qu'il ne ressort pas du rapport du médecin traitant que le recourant aurait pris conscience d'avoir commis des actes d'ordre sexuel sur ses enfants.</w:t>
      </w:r>
    </w:p>
    <w:p>
      <w:r>
        <w:t>Contrairement à ce que soutient le recourant, les experts ont estimé que la thérapie jouait un rôle dans la prévention d'actes illicites. Elle avait une " valeur de contrôle externe et donc de limitation à la toute-puissance individuelle ". En cas d'arrêt de celle-ci, le recourant présenterait un risque de récidive.</w:t>
      </w:r>
    </w:p>
    <w:p>
      <w:r>
        <w:t>En outre, les experts ont estimé que même si les actes commis par le recourant l'ont été dans un cadre strictement familial, il n'était pas souhaitable qu'il ait des contacts avec des mineurs, même accompagnés, dans le cadre de son activité professionnelle. Dans ces conditions, ils estimaient que le traitement ambulatoire restait nécessaire.</w:t>
      </w:r>
    </w:p>
    <w:p>
      <w:r>
        <w:rPr>
          <w:b/>
        </w:rPr>
        <w:t>E. 1.6</w:t>
      </w:r>
    </w:p>
    <w:p>
      <w:r>
        <w:t>C'est dès lors à bon droit que l'instance précédente a jugé qu'il n'existait aucun motif pertinent qui justifierait de s'écarter de l'expertise réalisée le 11 février 2016. L'instance précédente n'a pas violé le droit fédéral en jugeant que la levée de la mesure de traitement ambulatoire n'était pas appropriée.</w:t>
      </w:r>
    </w:p>
    <w:p>
      <w:r>
        <w:rPr>
          <w:b/>
        </w:rPr>
        <w:t>E. 2</w:t>
      </w:r>
    </w:p>
    <w:p>
      <w:r>
        <w:t>Le recours doit être rejeté dans la mesure où il est recevable. Le recourant devra donc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