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6B_1420/2016 vom 3. Oktober 2017</w:t>
      </w:r>
    </w:p>
    <w:p>
      <w:r>
        <w:t>Bundesgericht, 2017-10-03, FR</w:t>
      </w:r>
    </w:p>
    <w:p>
      <w:r>
        <w:rPr>
          <w:b/>
        </w:rPr>
        <w:t xml:space="preserve">Quelle: </w:t>
      </w:r>
      <w:r>
        <w:t>https://mcp.opencaselaw.ch/entscheid/bger_6B_1420_2016</w:t>
      </w:r>
    </w:p>
    <w:p>
      <w:r>
        <w:t>FR: TF 6B_1420/2016 du 3 octobre 2017</w:t>
      </w:r>
    </w:p>
    <w:p>
      <w:r>
        <w:t>IT: TF 6B_1420/2016 del 3 ottobre 2017</w:t>
      </w:r>
    </w:p>
    <w:p>
      <w:pPr>
        <w:pStyle w:val="Heading2"/>
      </w:pPr>
      <w:r>
        <w:t>Erwägungen</w:t>
      </w:r>
    </w:p>
    <w:p>
      <w:r>
        <w:rPr>
          <w:b/>
        </w:rPr>
        <w:t>E. 1</w:t>
      </w:r>
    </w:p>
    <w:p>
      <w:r>
        <w:t>Le recourant reproche à l'autorité précédente d'avoir retenu qu'il avait violé ses devoirs de prudence.</w:t>
      </w:r>
    </w:p>
    <w:p>
      <w:r>
        <w:rPr>
          <w:b/>
        </w:rPr>
        <w:t>E. 1.1.1</w:t>
      </w:r>
    </w:p>
    <w:p>
      <w:r>
        <w:t>L' art. 125 CP réprime le comportement de celui qui, par négligence, aura fait subir à une personne une atteinte à l'intégrité corporelle ou à la santé. La réalisation de l'infraction à l' art. 125 al. 2 CP suppose la réunion de trois conditions: une négligence commise par l'auteur, une lésion corporelle grave subie par la victime et un lien de causalité naturelle et adéquate entre la négligence et la lésion.</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 citées).</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w:t>
      </w:r>
    </w:p>
    <w:p>
      <w:r>
        <w:rPr>
          <w:b/>
        </w:rPr>
        <w:t>E. 1.1.2</w:t>
      </w:r>
    </w:p>
    <w:p>
      <w:r>
        <w:t>Selon l'art. 3 de l'Ordonnance du 19 décembre 1983 sur la prévention des accidents et des maladies professionnelles (OPA;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L'art. 3 de l'Ordonnance du 29 juin 2005 sur les travaux de construction (OTConst; RS 832.311.141) prescrit que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Selon les art. 41 OPA et 6 de l'Ordonnance du 27 septembre 1999 sur les conditions de sécurité régissant l'utilisation des grues (Ordonnance sur les grues; RS 832.312.15), les objets et matériaux doivent être transportés et entreposés de façon qu'ils ne puissent pas se renverser, tomber ou glisser et par là constituer un danger. Des équipements de travail appropriés doivent être mis à disposition et utilisés pour lever, porter et déplacer des charges lourdes ou encombrantes, de telle sorte que la manipulation ne porte pas atteinte à la sécurité ou à la santé.</w:t>
      </w:r>
    </w:p>
    <w:p>
      <w:r>
        <w:t>L'employeur doit veiller à ce que tous les travailleurs occupés dans son entreprise soient informés de manière suffisante et appropriée des risques auxquels ils sont exposés dans l'exercice de leur activité et instruits des mesures de sécurité au travail ( art. 6 et 41 al. 2 bis OPA ; art. 3 OTConst ). Conformément à l' art. 7 al. 1 OPA , lorsque l'employeur confie à un travailleur certaines tâches relatives à la sécurité au travail, il doit le former de manière appropriée, parfaire sa formation et lui donner des compétences précises et des instructions claires. Selon la directive «d'Appel à des médecins et autres spécialistes de la sécurité au travail» (MSST) édictée par la Commission fédérale de coordination pour la sécurité du travail, les travaux de construction réalisés sur un chantier doivent être considérés comme des travaux exposés à des dangers particuliers et tombent sous le coup de l' art. 8 OPA ainsi que de l'art. 6 de l'Ordonnance sur les grues et des directives de la SUVA (les dix règles vitales pour la branche de la construction au moyen d'éléments en bois, règle n° 6). Ces articles disposent que l'employeur ne confie des travaux comportant de tels dangers qu'à des travailleurs ayant été formés spécialement à cet effet et, lorsque le travail porte sur le déplacement et le transport de charges avec différents moyens de levage, la formation doit porter sur l'élingage et le déplacement de charges.</w:t>
      </w:r>
    </w:p>
    <w:p>
      <w:r>
        <w:rPr>
          <w:b/>
        </w:rPr>
        <w:t>E. 1.1.3</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ainsi pas en matière sur les critiques de nature appellatoire ( ATF 142 III 364 consid. 2.4 p. 368). La partie recourante est autorisée à attaquer des constatations de fait irrégulières si la correction du vice est susceptible d'influer sur le sort de la cause ( art. 97 al. 1 LTF ).</w:t>
      </w:r>
    </w:p>
    <w:p>
      <w:r>
        <w:rPr>
          <w:b/>
        </w:rPr>
        <w:t>E. 1.2</w:t>
      </w:r>
    </w:p>
    <w:p>
      <w:r>
        <w:t>L'autorité précédente a considéré que le recourant ne s'était pas assuré que l'intimé, simple manoeuvre sans formation professionnelle, qui n'avait jamais auparavant déplacé des fermes de charpente d'une telle dimension, disposât de la formation nécessaire pour effectuer le travail qu'il lui avait confié.</w:t>
      </w:r>
    </w:p>
    <w:p>
      <w:r>
        <w:t>En outre, en se fondant notamment sur le rapport du SAMT, la cour cantonale a retenu que les travaux avaient été entrepris sans réflexion préalable quant à leur déroulement ou quant aux risques encourus et aux moyens de les éviter. Ainsi, les fermes avaient été déchargées du camion, pour être posées sur le sol avant d'être immédiatement reprises pour être transportées à proximité immédiate du chantier, ce qui avait occasionné des doubles manipulations qui auraient dû être évitées pour minimiser les risques. Le recourant s'était contenté de dire à l'intimé de passer une sangle autour des fermes et de l'accrocher à la fourche du Manitou sans mentionner les dangers potentiels, ni lui donner d'indications sur la manière de faire, sous réserve qu'il pouvait être admis qu'il lui avait dit de se tenir à l'extrémité des fermes. Or conformément à l' art. 3 al. 1 OTConst , l'instruction, ainsi que la planification, devaient être données avant le début des travaux pour être efficaces, empêcher les manoeuvres inadéquates, faire respecter les mesures de sécurité et éviter la survenance d'accidents. De plus, il découlait du rapport du SAMT que l'utilisation d'un Manitou pour transporter des fermes, alors que celui-ci servait exclusivement à la manutention de balles ou de palettes, était contraire aux prescriptions légales sur le transport de matériaux. En effet, cet engin ne permettait pas d'assurer l'équilibre et la stabilité de la charge transportée. Pour le travail à accomplir, l'utilisation d'un crochet autobloquant avec linguet de sécurité était ainsi recommandé. L'équipement de travail était inapproprié, ne répondait pas à l'état de la technique selon les art. 82 de la loi du 20 septembre 1981 sur l'assurance-accidents (LAA; RS 832.20) et 3 OPA et présentait un risque évident d'accident. En outre, la conduite d'un chariot élévateur constituait un travail dangereux au sens de l' art. 8 al. 1 OPA , qui nécessitait une formation correspondante conformément à l'art. 82 al. 2LAA. Or le recourant ne disposait pas du permis de cariste autorisant la conduite d'un tel engin. Il avait, de cette façon également, violé son devoir de prudence et favorisé la survenance d'un danger qui était, au demeurant, évitable.</w:t>
      </w:r>
    </w:p>
    <w:p>
      <w:r>
        <w:t>Enfin, il ressortait des déclarations des parties que le recourant n'avait plus fait attention à ce que faisait son employé lorsque lui-même était descendu du Manitou. Compte tenu du bruit du moteur du Manitou, l'intimé n'avait certainement pas entendu le recourant lui demandant d'attendre alors qu'il incombait au recourant de s'en assurer en stoppant toute manoeuvre pendant quelques instants et en surveillant que l'intimé restait bien à l'extrémité des fermes et qu'il n'essayait pas de redresser manuellement celles-ci.</w:t>
      </w:r>
    </w:p>
    <w:p>
      <w:r>
        <w:t>Pour ces motifs, force était d'admettre que le recourant n'avait pas satisfait à ses obligations de choisir, d'instruire, et de surveiller correctement son collaborateur. Il avait ainsi violé son devoir de diligence.</w:t>
      </w:r>
    </w:p>
    <w:p>
      <w:r>
        <w:rPr>
          <w:b/>
        </w:rPr>
        <w:t>E. 1.3</w:t>
      </w:r>
    </w:p>
    <w:p>
      <w:r>
        <w:t>Le recourant fait grief à la cour cantonale de ne pas avoir retenu qu'il avait engagé l'intimé à l'issue de son placement par l'Office régional de placement du canton du Jura parce que son travail était satisfaisant et que l'intimé était suffisamment formé pour exécuter le travail qui lui était demandé aussi longtemps que le recourant lui indiquait en principe la manière de procéder et le surveillait. Il soutient que le déroulement des opérations était connu de l'intimé et qu'il était le même qu'avec le transport de fermes plus petites dont il s'était déjà chargé. La double manipulation des fermes était par ailleurs inévitable et l'emploi d'un Manitou pour procéder aux travaux en cause largement répandu dans le milieu. La cour cantonale aurait dû constater que le travail avait été interrompu au moment où les fermes étaient déséquilibrées et que le recourant avait demandé à l'intimé d'attendre. Enfin, le recourant reproche à la cour cantonale d'avoir retenu que le bruit du Manitou avait couvert l'instruction donnée à l'intimé de se placer à l'extrémité des fermes et de ne plus bouger lorsque les fermes avaient été déséquilibrées.</w:t>
      </w:r>
    </w:p>
    <w:p>
      <w:r>
        <w:rPr>
          <w:b/>
        </w:rPr>
        <w:t>E. 1.3.1</w:t>
      </w:r>
    </w:p>
    <w:p>
      <w:r>
        <w:t>Par cette critique, le recourant se borne essentiellement à opposer son appréciation des faits à celle de la cour cantonale, sans toutefois en démontrer le caractère arbitraire. Il en va notamment ainsi lorsqu'il soutient qu'une double manipulation des fermes était nécessaire ou encore que l'emploi d'un Manitou n'était pas risqué, alors que le contraire ressort du rapport du SAMT repris dans le jugement attaqué; il en va de même lorsqu'il se contente d'affirmer, en se référant à ses propres déclarations, qu'il avait suffisamment formé l'intimé pour l'exécution du travail en question. Son grief d'arbitraire dans l'établissement des faits repose ainsi sur une motivation largement appellatoire (consid. 1.1.3 supra). Il est, partant, irrecevable.</w:t>
      </w:r>
    </w:p>
    <w:p>
      <w:r>
        <w:rPr>
          <w:b/>
        </w:rPr>
        <w:t>E. 1.3.2</w:t>
      </w:r>
    </w:p>
    <w:p>
      <w:r>
        <w:t>Au reste, le recourant ne soutient pas qu'il avait informé l'intimé des risques de la manoeuvre dont il était chargé, ou encore que l'intimé en aurait eu connaissance autrement. Dès lors, peu importe que l'intimé ait connu le déroulement prévu des opérations ou qu'il ait déjà transporté des fermes plus petites; dans la mesure où il ignorait les dangers potentiels de la manoeuvre et la manière de procéder pour les éviter, cela suffit déjà à admettre, au regard des prescriptions légales et administratives applicables (cf. consid. 1.1.2 supra), que le choix du collaborateur pour effectuer cette tâche était imprudent, respectivement que le collaborateur en question n'avait pas été suffisamment instruit. Par ailleurs, il n'est pas déterminant de savoir si le bruit du Manitou a empêché l'intimé d'entendre les instructions du recourant. En effet, selon l' art. 3 al. 1 OTConst , le recourant aurait dû instruire l'intimé avant le début du travail en question. En outre, comme la cour cantonale l'a retenu, le recourant aurait dû s'assurer que l'intimé avait entendu, respectivement compris les instructions données, et qu'il les avait correctement interprétées; or il n'avait ensuite plus fait attention à ce que faisait son employé lorsque lui-même était descendu du Manitou.</w:t>
      </w:r>
    </w:p>
    <w:p>
      <w:r>
        <w:t>Ainsi, fondée sur l'état de fait du jugement attaqué, dont le caractère insoutenable n'a pas été démontré, la cour cantonale pouvait conclure à une violation des devoirs de prudence au sens de l' art. 125 CP . Pour le surplus, le recourant ne discute pas le caractère fautif de cette violation.</w:t>
      </w:r>
    </w:p>
    <w:p>
      <w:r>
        <w:rPr>
          <w:b/>
        </w:rPr>
        <w:t>E. 2</w:t>
      </w:r>
    </w:p>
    <w:p>
      <w:r>
        <w:t>Le recourant conteste l'existence d'un lien de causalité entre la violation des devoirs de prudence et les lésions corporelles graves subies par l'intimé.</w:t>
      </w:r>
    </w:p>
    <w:p>
      <w:r>
        <w:rPr>
          <w:b/>
        </w:rPr>
        <w:t>E. 2.1</w:t>
      </w:r>
    </w:p>
    <w:p>
      <w:r>
        <w:t>Il doit exister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arrêt 6B_315/2016 du 1er novembre 2016 consid. 5). La causalité adéquate est ainsi exclue lorsque l'acte attendu n'aurait vraisemblablement pas empêché la survenance du résultat ou lorsqu'il serait simplement possible qu'il l'eût empêché (arrêts 6B_315/2016 du 1er novembre 2016 consid. 5; 6B_1165/2015 du 20 avril 2016 consid. 2.2.1 et les références citées).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et les références citées).</w:t>
      </w:r>
    </w:p>
    <w:p>
      <w:r>
        <w:rPr>
          <w:b/>
        </w:rPr>
        <w:t>E. 2.2</w:t>
      </w:r>
    </w:p>
    <w:p>
      <w:r>
        <w:t>Le recourant affirme que le fait d'avoir utilisé un Manitou pour entreprendre le déplacement des fermes n'est pas la cause de l'accident. Appellatoire, cette critique de fait est irrecevable (consid. 1.1.3 ci-dessus). Au demeurant, la cour cantonale a expliqué, en se référant au rapport du SAMT, que l'outil de levage utilisé ne correspondait manifestement pas à la technique qu'il eût fallu mettre en oeuvre. Il existait en effet un risque évident que les fermes transportées avec un Manitou ne glissent quelle que soit la position des fourches, vu que cet engin ne permettait pas d'assurer l'équilibre et la stabilité de la charge transportée et que le recourant n'avait pas utilisé de crochet autobloquant. Partant, il n'était pas arbitraire de retenir que l'usage d'un équipement inapproprié était en lien de causalité naturelle avec le déséquilibre des fermes et leur chute sur les jambes de l'intimé.</w:t>
      </w:r>
    </w:p>
    <w:p>
      <w:r>
        <w:rPr>
          <w:b/>
        </w:rPr>
        <w:t>E. 2.3</w:t>
      </w:r>
    </w:p>
    <w:p>
      <w:r>
        <w:t>Le recourant soutient que le comportement de l'intimé consistant à se rendre sous les fermes et à tenter de remettre la sangle en place était imprévisible compte tenu des instructions données et reléguait au second plan toute éventuelle négligence de sa part.</w:t>
      </w:r>
    </w:p>
    <w:p>
      <w:r>
        <w:t>En se servant d'un engin inapproprié pour le transport des fermes, et en ne mettant pas en place un système de blocage de la sangle permettant d'éviter que celles-ci ne glissent sur la fourche du Manitou et s'en détachent, le recourant n'a pas respecté des règles de prudence qui auraient évité, selon le cours ordinaire des choses et l'expérience de la vie, la survenance du résultat tel qu'il s'est produit. Même à admettre, comme le recourant le soutient, que l'intimé a provoqué la chute des charges en tentant de les rééquilibrer - ce qui n'est pas établi -, cela ne relègue pas au second plan la négligence du recourant dans le choix de l'équipement utilisé pour l'opération. En outre, que l'intimé se soit trouvé sous les fermes plutôt qu'à l'extrémité de celles-ci au moment où elles sont tombées ne revêt pas un caractère extraordinaire, insensé ou extravagant; en effet, l'intimé n'avait pas été instruit au préalable sur les dangers de la manoeuvre et les comportements à éviter, alors que le recourant savait qu'il ne disposait d'aucune formation spécifique. La survenance de l'accident lié au déséquilibre de la charge démontrait également que le recourant n'avait pas surveillé son employé avec l'attention nécessaire car il n'avait pas vérifié, au moment où le risque d'accident devenait plus concret, que ses instructions étaient comprises et suivies d'effet. Il découle de ce qui précède que le lien de causalité adéquate entre les prescriptions de sécurité violées par le recourant et la survenance de l'accident n'a pas été rompu par un acte concurrent imprévisible. Le grief est mal fondé.</w:t>
      </w:r>
    </w:p>
    <w:p>
      <w:r>
        <w:rPr>
          <w:b/>
        </w:rPr>
        <w:t>E. 2.4</w:t>
      </w:r>
    </w:p>
    <w:p>
      <w:r>
        <w:t>La condamnation du recourant pour l'infraction de l' art. 125 CP ne viole pas le droit fédéral. Le recourant ne conteste pas, au surplus, les autres conditions d'application de la norme, en particulier concernant sa position de garant et l'existence de lésions corporelles graves.</w:t>
      </w:r>
    </w:p>
    <w:p>
      <w:r>
        <w:rPr>
          <w:b/>
        </w:rPr>
        <w:t>E. 3</w:t>
      </w:r>
    </w:p>
    <w:p>
      <w:r>
        <w:t>Au vu de ce qui précède, 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