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141/2018 vom 23. November 2018</w:t>
      </w:r>
    </w:p>
    <w:p>
      <w:r>
        <w:t>Bundesgericht, 2018-11-23, DE</w:t>
      </w:r>
    </w:p>
    <w:p>
      <w:r>
        <w:rPr>
          <w:b/>
        </w:rPr>
        <w:t xml:space="preserve">Quelle: </w:t>
      </w:r>
      <w:r>
        <w:t>https://mcp.opencaselaw.ch/entscheid/bger_6B_141_2018</w:t>
      </w:r>
    </w:p>
    <w:p>
      <w:r>
        <w:t>FR: TF 6B 141/2018 du 23 novembre 2018</w:t>
      </w:r>
    </w:p>
    <w:p>
      <w:r>
        <w:t>IT: TF 6B 141/2018 del 23 novembre 2018</w:t>
      </w:r>
    </w:p>
    <w:p>
      <w:pPr>
        <w:pStyle w:val="Heading2"/>
      </w:pPr>
      <w:r>
        <w:t>Regeste</w:t>
      </w:r>
    </w:p>
    <w:p>
      <w:r>
        <w:t>Zivilforderung; Willkür, rechtliches Gehör | Strafprozess</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 Die Beschwerdeführer haben ihre Beschwerde auf Französisch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von dieser Regel abzuweichen.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2.2</w:t>
      </w:r>
    </w:p>
    <w:p>
      <w:r>
        <w:t>Nach der Rechtsprechung werden Schadenersatz- und Genugtuungsansprüche der geschädigten Person, welche das kantonale obere Gericht oder das Bundesstrafgericht auf den Zivilweg verweisen, nicht zusammen mit der Strafsache behandelt. Sie können daher nicht auf Beschwerde in Strafsachen hin vom Bundesgericht beurteilt werden (Urteile 6B_1401/2017 vom 19. September 2018 E. 2; 6B_176/2011 vom 23. Dezember 2011 E. 2.3; 6B_89/2009 vom 29. Oktober 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THOMMEN/ROBERTO FAGA, in: Basler Kommentar, Bundesgerichtsgesetz, 3. Aufl. 2018, N. 32 zu Art. 78). Dies gilt nach der geltenden Rechtslage (Art. 81 Abs. 1 lit. b Ziff. 5 BGG vom 20. März 2008, in Kraft seit dem 1. Januar 2011) auch für die Privatklägerschaft unabhängig von ihrer Opferstellung (Urteil 6B_1401/2017 vom 19. September 2018 E. 2; offengelassen unter der Herrschaft des früheren Rechts in Urteil 6B_89/2009 vom 29. Oktober 2009 E. 1.2.1).</w:t>
      </w:r>
    </w:p>
    <w:p>
      <w:r>
        <w:rPr>
          <w:b/>
        </w:rPr>
        <w:t>E. 2.3</w:t>
      </w:r>
    </w:p>
    <w:p>
      <w:r>
        <w:t>Die Beschwerdeführer haben sich im Verfahren ausdrücklich als Privatkläger konstituiert und Zivilforderungen geltend gemacht ( Art. 118 Abs. 1 StPO ; Beschwerde S. 5; Untersuchungsakten act. www 0009 ff., 0016, 00070, 77). Die Vorinstanz hat ihre Zivilansprüche auf den Zivilweg verwiesen. Soweit die Beschwerdeführer geltend machen, die Vorinstanz sei, da sie die beschuldigte Person schuldig gesprochen habe, grundsätzlich verpflichtet gewesen, auch über die Zivilansprüche zu entscheiden, kann auf ihre Beschwerde eingetreten werden.</w:t>
      </w:r>
    </w:p>
    <w:p>
      <w:r>
        <w:rPr>
          <w:b/>
        </w:rPr>
        <w:t>E. 3.1</w:t>
      </w:r>
    </w:p>
    <w:p>
      <w:r>
        <w:t>Die Beschwerdeführer wenden sich gegen die Verweisung ihrer Schadenersatzforderung auf den Zivilweg. Sie machen geltend, sie hätten am 19. Februar 2004 im Umfang von CHF 400'000.-- in den S.________ Fund investiert (Beschwerde S. 7; vgl. Anhang zum angefochtenen Urteil S. 28). Aus den rechtshilfeweise erhobenen Bankunterlagen ergäben sich keinerlei Hinweise darauf, dass von der ursprünglichen Anlage je Dividendenzahlungen oder Rückzahlungen der erworbenen Anteile erfolgt wären. Trotz der vollkommen identischen Beweislage wie bei dem - vom selben Rechtsanwalt vertretenen - Geschädigten T.________ (Geschädigtennummer ppp), welchem die Vorinstanz Schadenersatz (in Höhe seiner ursprünglichen Einlage von CHF 50'950.--, zzgl. Zins zu 5 % seit dem 1. Oktober 2004) zugesprochen habe (angefochtenes Urteil S. 114 und 144 [Dispositiv IVF.1.2.1]), sei ihre Zivilforderung vollumfänglich auf den Zivilweg verwiesen worden (Beschwerde S. 5 ff.). Die Beschwerdeführer machen in diesem Zusammenhang zunächst Willkür geltend. Die Vorinstanz sei innerhalb desselben Verfahrens in Bezug auf zwei in tatsächlicher und rechtlicher Hinsicht identische Sachverhalte, die mit denselben eingereichten Beweismitteln nachgewiesen seien, zu unterschiedlichen Ergebnissen gelangt. Das angefochtene Urteil sei insofern widersprüchlich und unhaltbar (Beschwerde S.12 ff.). Darüber hinaus nehme die Vorinstanz willkürlich an, es bestünden hinsichtlich des Verlaufs ihrer Investition und bezüglich Zins- und Rückzahlungen Unklarheiten. Ihre Urheberschaft der Einlage, die Höhe der angelegten Gelder und deren Eingang bei der P.________ Ltd., Nassau, Bahamas, die Zeichnung der Fundanteile sowie die Entwicklung der Anlage ergäben sich aus den im Untersuchungsverfahren ins Recht gelegten Dokumenten, namentlich aus der Bankbestätigung, der Subscription Confirmation, dem Cash Transaction Report, dem P.________ Activity Form und der SWIFT Meldung (Beschwerde S. 5 ff.; Beschwerdebeilagen 4.2, 4.3 und 5.1-5.3; Untersuchungsakten act. www 0044 f.). Diese Dokumente bildeten vollumfänglichen Beweis für die Einzahlung und Überweisung des investierten Kapitals sowie dessen Eingang. Der Verlauf der Investition sei mithin vollständig nachgewiesen. Dasselbe gelte hinsichtlich der Zins- und Kapitalrückzahlungen. Aus der umfassenden Dokumentation in den Verfahrensakten ergebe sich, dass weder Zins- noch Kapitalrückzahlungen erfolgt seien. Damit bestehe in Bezug auf die Höhe des erlittenen Schadens keinerlei Zweifel (Beschwerde S. 17 ff.). Im Weiteren rügen die Beschwerdeführer eine Verletzung der Begründungspflicht. Die Erwägungen im angefochtenen Urteil liessen nicht erkennen, aus welchen Gründen die Vorinstanz zum Schluss gelangt sei, der Nachweis des erlittenen Schadens sei nicht erbracht worden. Es gehe aus jenen auch nicht hervor, inwiefern sich die Vorinstanz mit ihren Vorbringen und den eingereichten Beweisen auseinandergesetzt habe (Beschwerde S. 15 ff.).</w:t>
      </w:r>
    </w:p>
    <w:p>
      <w:r>
        <w:rPr>
          <w:b/>
        </w:rPr>
        <w:t>E. 3.2</w:t>
      </w:r>
    </w:p>
    <w:p>
      <w:r>
        <w:t>Die Vorinstanz stellt für sämtliche Privatkläger fest, diese hätten ihre Anträge grösstenteils in den Formularen gestellt, welche sie im Vorverfahren von der Bundesanwaltschaft erhalten hätten. Die Rechtsbegehren der anwaltlich vertretenen Privatkläger ergäben sich aus den Eingaben ihrer Rechtsvertreter im Vor- und/oder Hauptverfahren. Diese Anträge steckten nach der zivilprozessualen Dispositionsmaxime ( Art. 58 Abs. 1 ZPO ) den Rahmen ab, innerhalb welchem das Gericht das Zivilurteil fälle (angefochtenes Urteil S. 101). Das Strafverfahren gegen X.________ betreffend Handlungen, die vor dem 1. Oktober 2001 begangen worden seien, sei zufolge Verjährung eingestellt worden. Die materielle Beurteilung von Zivilansprüchen, welche sich auf vor diesem Zeitpunkt erfolgte Investitionen gründeten, sei daher im Adhäsionsverfahren nicht möglich (angefochtenes Urteil S. 103). Die Vorinstanz nimmt ferner an, X.________ habe sich des gewerbsmässigen Betruges schuldig gemacht, indem er die Anleger durch arglistige Irreführung zur Investition von Geldern veranlasst habe, für welche von Anfang an keine Gewähr der späteren Rückzahlung bestanden habe. Daraus folge gegenüber den Anlegern eine persönliche Haftung aus Art. 41 Abs. 1 OR für die investierten Geldbeträge. Allfällige Vorteile, die den Geschädigten aus dem schädigenden Ereignis entstanden seien, seien in der Schadensberechnung zu berücksichtigen. Einem Grossteil der Anleger seien solche Vorteile in Form von Zins- und Kapitalrückzahlungen zugeflossen. Einzelne Investoren hätten zudem Provisionen für die Vermittlung von weiteren Kunden für das "Anlagesystem X.________" erhalten. Diese Vorteile wiesen einen Konnex zu den schädigenden Handlungen von X.________ auf und seien daher auf den Schaden anzurechnen. Zum klagbaren Schaden gehöre schliesslich der Schadenszins zu 5 % von dem Zeitpunkt an, in welchem sich das schädigende Ereignis finanziell ausgewirkt habe. Der Zeitpunkt, von welchem an der Zins geschuldet werde, werde der Besonderheit des vorliegenden Falles (Massengeschäft im Adhäsionsverfahren) Rechnung tragend für alle Zivilkläger einheitlich auf den 1. Oktober 2004 festgelegt, den Zeitpunkt, ab welchem spätestens keine für die Bestimmung der Schadenssumme zu berücksichtigenden Rückzahlungen mehr an die Anleger erfolgt seien (angefochtenes Urteil S. 102). Soweit die Zivilkläger neben dem Ersatz der Einlagen auch den Ausgleich der vertraglich zugesicherten Zinsen beantragten, sei kein Schadenersatz geschuldet, da die Haftung auf Art. 41 Abs. 1 OR beruhe (angefochtenes Urteil S. 103). Schliesslich führt die Vorinstanz aus, bei einem Teil der Anleger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 Weitere von Privatklägern geltend gemachte Zivilforderungen erachtete die Vorinstanz zumindest teilweise für begründet und nachvollziehbar ausgewiesen. Die Vorinstanz stützt sich dabei auf die Unterlagen im jeweiligen Geschädigtendossier, namentlich auf die abgeschlossenen Investitionsvereinbarungen, die Überweisungen in die jeweiligen Anlagegefässe und die Quartalsabrechnungen (angefochtenes Urteil S. 112 f.).</w:t>
      </w:r>
    </w:p>
    <w:p>
      <w:r>
        <w:rPr>
          <w:b/>
        </w:rPr>
        <w:t>E. 4.1</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(Urteil 6B_521/2007 vom 1. Februar 2008 E. 4.2). 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(Urteile 6B_443/2017 vom 5. April 2018 E. 3.1; 6B_75/2014 vom 30. September 2014 E. 2.4.3; je mit Hinweisen). Gemäss Abs. 2 derselben Bestimmung wird die Zivilklage u.a. auf den Zivilweg verwiesen, wenn das Strafverfahren eingestellt wird (lit. a), wenn die Privatklägerschaft ihre Klage nicht hinreichend begründet oder beziffert (lit. b; vgl. auch Art. 84 Abs. 2 und Art. 221 Abs. 1 lit. c und d ZPO ; BGE 137 III 617 E. 4.3 S. 619) oder wenn die beschuldigte Person freigesprochen wird,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rPr>
          <w:b/>
        </w:rPr>
        <w:t>E. 4.2</w:t>
      </w:r>
    </w:p>
    <w:p>
      <w:r>
        <w:t>Gemäss Art. 112 Abs. 1 BGG müssen Entscheide, die der Beschwerde an das Bundesgericht unterliegen, die massgebenden Gründe tatsächlicher und rechtlicher Art, insbesondere die Angabe der angewendeten Gesetzesbestimmungen enthalten (lit. b). Es muss aus ihnen klar hervorgehen, von welchem festgestellten Sachverhalt die Vorinstanz ausgegangen ist und welche rechtlichen Überlegungen sie angestellt hat ( BGE 141 IV 244 E. 1.2 S. 246 mit Hinweisen). Nach der bundesgerichtlichen Rechtsprechung ist die Begründung insbesondere dann mangelhaft, wenn der angefochtene Entscheid jene tatsächlichen Feststellungen nicht trifft, die zur Überprüfung der Rechtsanwendung unerlässlich sind. Die Begründung ist ferner mangelhaft, wenn einzelne Tatbestandsmerkmale, die für die Subsumtion unter eine gesetzliche Norm von Bedeutung sind, von der Vorinstanz nicht oder nicht genügend abgeklärt worden sind ( BGE 119 IV 284 E. 5b S. 287; Urteile 6B_9/2018 vom 20. Juni 2018 E. 1.4; 6B_303/2017 vom 16. November 2017 E. 4.3; je mit Hinweisen). Genügt ein Entscheid den Anforderungen von Art. 112 Abs. 1 lit. b BGG nicht, so kann ihn das Bundesgericht in Anwendung von Abs. 3 derselben Bestimmung an die Vorinstanz zur Verbesserung zurückweisen oder aufheben ( BGE 141 IV 244 E. 1.2 S. 246; 138 IV 81 E. 2.2 S. 84; Urteil 6B_9/2018 vom 20. Juni 2018 E. 1.4).</w:t>
      </w:r>
    </w:p>
    <w:p>
      <w:r>
        <w:rPr>
          <w:b/>
        </w:rPr>
        <w:t>E. 5.1</w:t>
      </w:r>
    </w:p>
    <w:p>
      <w:r>
        <w:t>Die Vorinstanz hat im angefochtenen Urteil X.________ schuldig gesprochen. Gemäss Art. 126 Abs. 1 lit. a StPO hatte sie demnach über die geltend gemachten Schadenersatzforderungen zu entscheiden. Bei dieser Konstellation ist der Entscheid über die anhängig gemachte Zivilklage, soweit sie hinreichend begründet und beziffert ist, zwingend.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(Urteil 6B_1401/2017 vom 19. September 2018 E. 4.3 mit Hinweisen).</w:t>
      </w:r>
    </w:p>
    <w:p>
      <w:r>
        <w:rPr>
          <w:b/>
        </w:rPr>
        <w:t>E. 5.2</w:t>
      </w:r>
    </w:p>
    <w:p>
      <w:r>
        <w:t>Die Beschwerdeführer haben gegen X.________ Schadenersatz in der Höhe von CHF 430'998.--, nebst Zins zu 5 % seit dem 1. Dezember 2004 geltend gemacht (Beschwerde S. 5; Untersuchungsakten act. www 0016). In Bezug auf diese Zivilforderung finden sich im angefochtenen Urteil keine speziellen Erwägungen. Es ergibt sich aus ihm lediglich in indirekter Weise, dass die Vorinstanz zum Schluss gelangt ist, die Schadenersatzforderung der Beschwerdeführer sei nicht genügend substantiiert. Dies leitet sich aus dem Umstand ab, dass die Beschwerdeführer in der Liste derjenigen Privatkläger aufgeführt sind, deren Zivilforderungen die Vorinstanz auf den Zivilweg verwiesen hat (angefochtenes Urteil S. 104 ff., 105 und 162 ff., 164). Die Vorinstanz führt in diesem Kontext - anders als bei der Zusprechung von Schadenersatz (angefochtenes Urteil S. 112 f.) - auch nicht beispielhaft anhand ausgewählter Einzelfälle aus, aufgrund welcher Erwägungen und gestützt auf welche Beweismittel sie zu diesem Ergebnis gelangt. Die Vorgehensweise der Vorinstanz, nicht für jede einzelne Schadenersatzforderung speziell zu begründen, inwiefern der Verlauf der Investition nachvollziehbar und die Forderung mithin gutzuheissen oder auf den Zivilweg zu verweisen ist, ist im vorliegenden Fall angesichts der enormen Anzahl von Privatklägern grundsätzlich nicht zu beanstanden (vgl. auch die Rechtsprechung zur Begründung des Tatbestandsmerkmals der Arglist bei serienmässig begangenen Betrügen, BGE 119 IV 284 E. 5a S. 286 f.; Urteil 6B_150/2017 vom 11. Januar 2018 E. 3.3, nicht publiziert in: BGE 144 IV 52 ). Dies folgt auch daraus, dass der Begründungsaufwand sachbezogen und verhältnismässig sein muss (Urteil 6B_453/2018 vom 4. Juni 2018 E. 2.8). Soweit das Sachgericht auf Erwägungen zum konkreten Einzelfall verzichtet, muss seine Entscheidung aber im Lichte seiner allgemeinen, für sämtliche Geschädigten angeführten Urteilsgründe als nachvollziehbar erscheinen und einer Überprüfung standhalten. Im vorliegenden Fall haben die Beschwerdeführer den Verlauf ihrer Investition in ihrer Beschwerde explizit und eingehend dargelegt. Ihre Angaben werden durch die im Untersuchungsverfahren eingereichten Dokumente, soweit ersichtlich, belegt. Jedenfalls finden sich in den Untersuchungsakten keine offensichtlichen Anhaltspunkte dafür, dass in Bezug auf die geleisteten Einlagen und ausgerichteten Zahlungen irgendwelche Ungereimtheiten bestünden. Insgesamt mutet der Verlauf der Investition mithin nicht derart lückenhaft an, dass eine Zusprechung der Schadenersatzforderung von vornherein ausser Betracht fiele. Bei dieser Sachlage ist die Verweisung der Schadenersatzforderung der Beschwerdeführer auf den Zivilweg jedenfalls nicht evident. Mangels auf den konkreten Fall bezogener Erwägungen der Vorinstanz lässt sich indes nicht beurteilen, gestützt auf welche Tatsachen und Überlegungen sie in Bezug auf die Beschwerdeführer zum Ergebnis gelangt ist, es bestünden hinsichtlich des Verlaufs ihrer Investition Unklarheiten. Es ist daher nicht ersichtlich, welche Gründe sie dazu bewogen haben, die Forderung der Beschwerdeführer auf den Zivilweg zu verweisen. Ob die Verweisung der Schadenersatzforderung auf den Zivilweg Bundesrecht verletzt, kann im bundesgerichtlichen Verfahren allerdings nicht abschliessend geprüft werden, zumal eine uneingeschränkte Beweiswürdigung nicht Aufgabe des Bundesgerichts ist. Es steht ihm auch nicht zu, sich an die Stelle der Vorinstanz zu setzen und eine allfällig versäumte oder ungenügende Urteilsbegründung nachzuholen bzw. zu verbessern ( BGE 141 IV 244 E. 1.2 S. 246; Urteile 6B_9/2018 vom 20. Juni 2018 E. 1.4; 8C_298/2016 vom 30. November 2016 E. 5.1). Insgesamt ist mangels ausreichender Urteilsbegründung nicht überprüfbar, ob der angefochtene Entscheid mit Bundesrecht in Einklang steht. Das angefochtene Urteil ist daher in Anwendung von Art. 112 Abs. 3 BGG aufzuheben und die Sache an die Vorinstanz zur Ausfällung eines den Anforderungen von Art. 112 Abs. 1 BGG genügenden Entscheides zurückzuweisen. Da die verfahrensrechtlichen Folgen nach der genannten Bestimmung von Amtes wegen zu prüfen sind, ist die Gewährung des rechtlichen Gehörs bzw. die Durchführung eines zweiten Schriftenwechsels nicht erforderlich. Die Rechtsstellung der Parteien ändert sich im Fall einer Aufhebung des angefochtenen Urteils nicht, da diese nicht mit bundesgerichtlichen Vorgaben verbunden sein kann (Urteil 6B_9/2018 vom 20. Juni 2018 E. 1.4).</w:t>
      </w:r>
    </w:p>
    <w:p>
      <w:r>
        <w:rPr>
          <w:b/>
        </w:rPr>
        <w:t>E. 6</w:t>
      </w:r>
    </w:p>
    <w:p>
      <w:r>
        <w:t>Aus diesen Gründen ist die Beschwerde gutzuheissen. Bei diesem Ausgang des Verfahrens sind keine Kosten zu erheben ( Art. 66 Abs. 1 und 4 BGG ). Eine Entschädigung der Beschwerdeführer nach Art. 433 StPO zu Lasten von X.________ fällt im bundesgerichtlichen Verfahren ausser Betracht. Hingegen ist ihnen zu Lasten der Schweizerischen Eidgenossenschaft (Bundesanwaltschaft) eine angemessene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