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1418/2021 vom 5. Dezember 2022</w:t>
      </w:r>
    </w:p>
    <w:p>
      <w:r>
        <w:t>Bundesgericht, 2022-12-05, FR</w:t>
      </w:r>
    </w:p>
    <w:p>
      <w:r>
        <w:rPr>
          <w:b/>
        </w:rPr>
        <w:t xml:space="preserve">Quelle: </w:t>
      </w:r>
      <w:r>
        <w:t>https://mcp.opencaselaw.ch/entscheid/bger_6B_1418_2021</w:t>
      </w:r>
    </w:p>
    <w:p>
      <w:r>
        <w:t>FR: TF 6B 1418/2021 du 5 décembre 2022</w:t>
      </w:r>
    </w:p>
    <w:p>
      <w:r>
        <w:t>IT: TF 6B 1418/2021 del 5 dicembre 2022</w:t>
      </w:r>
    </w:p>
    <w:p>
      <w:pPr>
        <w:pStyle w:val="Heading2"/>
      </w:pPr>
      <w:r>
        <w:t>Regeste</w:t>
      </w:r>
    </w:p>
    <w:p>
      <w:r>
        <w:t>Expulsion (art. 66a CP) | Droit pénal (en général)</w:t>
      </w:r>
    </w:p>
    <w:p>
      <w:pPr>
        <w:pStyle w:val="Heading2"/>
      </w:pPr>
      <w:r>
        <w:t>Erwägungen</w:t>
      </w:r>
    </w:p>
    <w:p>
      <w:r>
        <w:rPr>
          <w:b/>
        </w:rPr>
        <w:t>E. 1</w:t>
      </w:r>
    </w:p>
    <w:p>
      <w:r>
        <w:t>Le recourant a déposé - valablement ( art. 42 al. 1 LTF ) - son recours en allemand. Comme la décision attaquée a été rendue en français, le présent arrêt sera rédigé dans cette langue ( art. 54 al. 1 LTF ).</w:t>
      </w:r>
    </w:p>
    <w:p>
      <w:r>
        <w:rPr>
          <w:b/>
        </w:rPr>
        <w:t>E. 2</w:t>
      </w:r>
    </w:p>
    <w:p>
      <w:r>
        <w:t>Conformément à l' art. 99 al. 1 LTF , aucun fait nouveau ni preuve nouvelle ne peut être présenté devant le Tribunal fédéral à moins de résulter de la décision de l'autorité précédente. A cet égard, le recourant produit, à l'appui de son écriture, différentes lettres de soutien de connaissances ou d'amis établies postérieurement à l'arrêt entrepris. Il s'agit donc de moyens de preuves nouveaux (vrais nova; "echte Noven"), qui ne peuvent pas être pris en considération ( ATF 148 I 160 consid. 1.7; arrêt 6B_536/2022 du 25 août 2022 consid. 1, destiné à publication).</w:t>
      </w:r>
    </w:p>
    <w:p>
      <w:r>
        <w:rPr>
          <w:b/>
        </w:rPr>
        <w:t>E. 3.1</w:t>
      </w:r>
    </w:p>
    <w:p>
      <w:r>
        <w:t>Invoquant une violation des art. 21 CPP et 14 al. 2 de la loi valaisanne d'application du code de procédure pénale suisse (LACPP/VS; rs/VS 312.0), en lien avec l' art. 19 CPP , ainsi que des art. 29, 30 Cst. et art. 6 CEDH , le recourant reproche à l'autorité précédente d'avoir statué dans une composition à juge unique. Il soutient que le législateur fédéral a permis uniquement à la première instance de statuer dans cette composition ( art. 19 al. 2 CPP ). Qui plus est, l'art. 14 al. 2 LACPP/VS ne prévoirait pas dans son énoncé qu'un juge unique puisse statuer en appel sur une mesure d'expulsion.</w:t>
      </w:r>
    </w:p>
    <w:p>
      <w:r>
        <w:rPr>
          <w:b/>
        </w:rPr>
        <w:t>E. 3.2</w:t>
      </w:r>
    </w:p>
    <w:p>
      <w:r>
        <w:t>En l'espèce, le vice invoqué par le recourant dans la composition de l'autorité précédente ne constitue pas - quoi qu'il en dise - une cause de nullité devant être constatée d'office, mais une cause d'annulabilité. En effet, selon l'art. 14 al. 2 LACPP/VS, un juge du Tribunal cantonal peut connaître des appels contre les jugements des juges de district prononçant, à titre principal, une amende, une peine pécuniaire, un travail d'intérêt général ou une peine privative de liberté avec sursis, pour autant qu'un précédent sursis ne soit pas révoqué, le juge désigné pouvant toutefois déférer la cause à une cour du tribunal. Un vice découlant d'une incompatibilité de cette disposition avec le droit fédéral ne pourrait par conséquent pas être considéré comme manifeste ou d'une gravité suffisante pour entraîner la nullité de l'arrêt attaqué (voir arrêt 6B_103/2018 du 16 mai 2018 consid. 1 et les références). Durant la procédure d'appel, le recourant a bénéficié des conseils d'un défenseur d'office inscrit au barreau du canton du Valais. En conséquence, il n'ignorait pas que, en application de l'art. 14 al. 2 LACPP/VS, sa cause - impliquant à titre principal une peine privative de liberté de trois mois avec sursis - serait soumise à un juge unique. Il ne prétend cependant pas qu'il se serait opposé à cette composition en instance cantonale, en particulier lors de l'audience d'appel du 29 octobre 2021, et demandé à ce que sa cause soit déférée à une cour du Tribunal cantonal. A défaut de l'avoir fait, son grief relatif à la composition de l'autorité précédente est donc irrecevable, faute d'épuisement des instances cantonales ( art. 80 al. 1 LTF ; arrêt 6B_103/2018 précité consid. 1; sur le principe de la bonne foi en procédure, voir ég. ATF 142 I 155 consid. 4.4.2).</w:t>
      </w:r>
    </w:p>
    <w:p>
      <w:r>
        <w:rPr>
          <w:b/>
        </w:rPr>
        <w:t>E. 4.1</w:t>
      </w:r>
    </w:p>
    <w:p>
      <w:r>
        <w:t>L'autorité précédente a jugé que l'expulsion du recourant n'était tout d'abord pas susceptible de le placer dans une situation personnelle grave au sens de l' art. 66a al. 2 CP . En particulier, les liens sociaux du recourant étaient relativement lâches avec la Suisse et il n'y possédait pas de famille dite "nucléaire". L'expulsion du recourant ne péjorerait par conséquent pas outre mesure sa situation personnelle. Il avait ensuite apporté une aide logistique précieuse à une bande de voleurs professionnels pour des motivations qui, dans la mesure où elles ne semblaient pas avoir été liées à la réalisation d'un profit économique, demeuraient malgré tout liées à un bénéfice strictement personnel. En effet, il avait aidé B.________ car celui-ci lui prêtait occasionnellement de l'argent et qu'il se sentait redevable vis-à-vis de lui, tout en pensant ne pas se faire prendre, ce qui laissait clairement transparaître un mépris général de l'ordre juridique de son pays d'accueil, ce que, d'ailleurs, ses propres déclarations en procédure laissaient également penser. L'intérêt public à son éloignement l'emportait dès lors manifestement sur ses intérêts privés à y demeurer. Pour le surplus, la durée de la mesure d'expulsion (cinq ans) correspondait au minimum légal et ne prêtait pas le flanc à la critique.</w:t>
      </w:r>
    </w:p>
    <w:p>
      <w:r>
        <w:rPr>
          <w:b/>
        </w:rPr>
        <w:t>E. 4.2</w:t>
      </w:r>
    </w:p>
    <w:p>
      <w:r>
        <w:t>Le recourant reproche à l'autorité précédente d'avoir confirmé son expulsion du territoire pour une durée de cinq ans. Il se prévaut de la clause de rigueur ( art. 66a al. 2 CP ) et soutient que son expulsion constituerait une ingérence disproportionnée dans son droit au respect de sa vie privée garanti par la Constitution fédérale ( art. 13 Cst. ) et par l' art. 8 CEDH .</w:t>
      </w:r>
    </w:p>
    <w:p>
      <w:r>
        <w:rPr>
          <w:b/>
        </w:rPr>
        <w:t>E. 5.1</w:t>
      </w:r>
    </w:p>
    <w:p>
      <w:r>
        <w:t>Le juge expulse de Suisse l'étranger qui est condamné pour vol qualifié ( art. 139 ch. 2 et 3 CP ), quelle que soit la quotité de la peine prononcée à son encontre, pour une durée de cinq à quinze ans ( art. 66a al. 1 let . c CP). Outre le fait que la quotité de la peine est sans incidence, comme l'énonce le texte légal, il importe peu que l'infraction soit achevée ou tentée ou encore que la sanction soit prononcée avec ou sans sursis ( ATF 146 IV 105 consid. 3.4.1 et les références; JACQUEMOUD-ROSSARI/MUSY, La jurisprudence du Tribunal fédéral en matière d'expulsion pénale, SJ 2022 p. 473 ss, 478). Le recourant, qui a été reconnu coupable de complicité de vol en bande et par métier ( art. 25 et 139 ch. 2 et 3 CP ), remplit a priori les conditions d'une expulsion du territoire suisse pour une durée de cinq ans ( art. 66a al. 1 CP ), sous la réserve d'une application de l' art. 66a al. 2 CP , voire des normes de droit international.</w:t>
      </w:r>
    </w:p>
    <w:p>
      <w:r>
        <w:rPr>
          <w:b/>
        </w:rPr>
        <w:t>E. 5.2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 ATF 144 IV 332 consid. 3.3). La clause de rigueur permet de garantir le principe de la proportionnalité ( art. 5 al. 2 Cst. ; ATF 146 IV 105 consid. 3.4.2; 144 IV 332 consid. 3.3.1). Elle doit être appliquée de manière restrictive ( ATF 146 IV 105 consid. 3.4.2; 144 IV 332 consid. 3.3.1). La loi ne définit pas ce qu'il faut entendre par une "situation personnelle grave". Selon la jurisprudence, il convient de s'inspirer des critères énoncés à l'art. 31 al. 1 de l'ordonnance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 art. 58a al. 1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 6B_1182/2021 du 3 octobre 2022 consid. 2.2.1 et les références). Selon la jurisprudence, pour se prévaloir du droit au respect de sa vie privée au sens de l' art. 8 par. 1 CEDH , en dehors du champ de protection combiné de la vie privée et familiale découlant de cette disposition,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6B_1142/2020 précité consid. 6.2.3). Un séjour légal de dix années suppose en principe une bonne intégration de l'étranger (cf. ATF 144 I 266 consid. 3.9).</w:t>
      </w:r>
    </w:p>
    <w:p>
      <w:r>
        <w:rPr>
          <w:b/>
        </w:rPr>
        <w:t>E. 5.3</w:t>
      </w:r>
    </w:p>
    <w:p>
      <w:r>
        <w:t>En l'espèce, le recourant, né en 1981, réside de manière régulière en Suisse depuis avril 2005, soit depuis plus de seize années au moment de l'arrêt attaqué. Selon les faits constatés par l'autorité précédente, de manière à lier le Tribunal fédéral, il paraît en outre être bien intégré dans le monde du travail, n'a plus de dettes et parle couramment l'allemand et le suisse-allemand. Aussi, lorsque la personne en question réside légalement sur le territoire depuis plus de dix ans, il y a lieu de partir de l'idée que les liens sociaux qu'elle a développés avec le pays sont suffisamment étroits pour que son expulsion puisse porter atteinte au droit au respect de sa vie privée au sens des art. 13 al. 1 Cst. et 8 par. 1 CEDH ( ATF 146 I 185 consid. 5.2; 144 I 266 consid. 3.9 et les références; arrêts 2C_528/2021 du 23 juin 2022 consid. 4.3, destiné à publication; 6B_506/2017 du 14 février 2018 consid. 2.4). Il faut donc admettre, quoi qu'en dise l'autorité précédente, que l'expulsion du recourant le placerait dans une situation personnelle grave au sens de l' art. 66a al. 2 CP . La première condition cumulative de cette disposition est par conséquent remplie.</w:t>
      </w:r>
    </w:p>
    <w:p>
      <w:r>
        <w:rPr>
          <w:b/>
        </w:rPr>
        <w:t>E. 5.4</w:t>
      </w:r>
    </w:p>
    <w:p>
      <w:r>
        <w:t>Il convient d'examiner ensuite si les intérêts publics à l'expulsion l'emportent sur l'intérêt privé du recourant à demeurer en Suisse, respectivement si une restriction au droit garanti par l' art. 13 al. 1 Cst. (respectivement par l' art. 8 par. 1 CEDH ) respecte le principe de proportionnalité ( art. 5 al. 2 Cst. respectivement art. 8 par. 2 CEDH ). A cet égard, en ce qui concerne l'intérêt personnel du recourant à demeurer en Suisse, les éléments à prendre en considération se recoupent largement avec ceux ayant conduit à retenir l'existence d'une situation personnelle grave en cas d'expulsion. Il vit en Suisse depuis plus de seize années (au moment de l'arrêt attaqué), est bien intégré dans le monde du travail, avec un emploi stable d'aide-jardinier depuis 2017, n'a plus de dettes et parle couramment l'allemand et le suisse-allemand. L'autorité précédente a constaté qu'il vivait cependant seul dans un logement d'une pièce, n'avait pas de charge de famille, n'entretenait aucune relation sentimentale stable et durable en Suisse, et ne faisait partie d'aucune association, même s'il avait quelques amis dans notre pays. En dépit de la durée de son séjour, il n'a donc pas de liens familiaux ou sociaux spécialement intenses en Suisse. Âgé de 40 ans au moment de l'arrêt attaqué, le recourant est de plus jeune, parle la langue de son pays d'origine, a de bonnes chances de réinsertion professionnelle à X.________ (notamment comme agriculteur indépendant, selon les faits constatés par l'autorité précédente) et ne prétend pas avoir de problème de santé particulier. Il est enfin arrivé en Suisse à l'âge de 24 ans et a donc la très grande majorité de ses attaches familiales, sociales et culturelles à X.________. Il a par conséquent conservé des liens forts avec son pays d'origine, où il est retourné pour la dernière fois en été 2019 (avant l'imposition par les différents États européens de restrictions aux voyages ensuite de la pandémie de Covid-19). En ce qui concerne ensuite la nature et la gravité de l'infraction commise, on ne saurait suivre le recourant lorsqu'il affirme que sa condamnation pour complicité de vol en bande et par métier relève d'un cas de peu de gravité ("Bagatellfall"). La peine de privation de liberté de trois mois, qui a été prononcée compte tenu aussi de son expulsion du territoire (jugement du 13 novembre 2019 consid. 6.2), est certes relativement légère. Le recourant a cependant prêté assistance aux membres d'une bande formée pour commettre des vols en Suisse, entre le 30 décembre 2018 et le 27 janvier 2019, date de leur arrestation. Vu la fréquence à laquelle la bande a commis les différents vols de marchandises pour une valeur de près de 60'000 fr., la gravité des actes du recourant, qui leur a servi de chauffeur, ne doit pas être relativisée par le fait que les normes réprimant le vol par bande et par métier - qui constitue un crime - protègent le patrimoine. Le recourant savait en outre dès le début que les membres de cette bande commettaient des actes délictueux et, ce nonobstant, n'a pas hésité à leur servir de chauffeur dans les cantons du Tessin, de Bâle-Ville, des Grisons et du Valais jusqu'à leur arrestation, de sorte qu'il n'a pas choisi de lui-même de mettre fin à sa complicité à une activité criminelle. Il gagnait enfin plus de 4'900 fr. (brut) mensuellement à l'époque et ne se trouvait par conséquent nullement dans une situation financière précaire. Les intérêts présidant à l'expulsion du recourant sont donc importants, ce d'autant plus qu'il n'a pas pris conscience de la gravité de ses agissements.</w:t>
      </w:r>
    </w:p>
    <w:p>
      <w:r>
        <w:rPr>
          <w:b/>
        </w:rPr>
        <w:t>E. 5.5</w:t>
      </w:r>
    </w:p>
    <w:p>
      <w:r>
        <w:t>Ensuite des éléments qui précèdent, le résultat de la pesée des intérêts opérée par l'autorité précédente ne prête pas le flanc à la critique. Le Tribunal fédéral ne méconnaît pas le fait que l'expulsion du recourant portera atteinte à son droit au respect de sa vie privée ( art. 13 Cst. et 8 par. 1 CEDH). Une telle atteinte n'exclut cependant pas le prononcé de la mesure en question, dès lors que l'intérêt public à l'expulsion l'emporte sur l'intérêt privé de l'intéressé - qui n'a pas de liens familiaux ou sociaux spécialement intenses en Suisse - à demeurer dans notre pays.</w:t>
      </w:r>
    </w:p>
    <w:p>
      <w:r>
        <w:rPr>
          <w:b/>
        </w:rPr>
        <w:t>E. 6</w:t>
      </w:r>
    </w:p>
    <w:p>
      <w:r>
        <w:t>C'est finalement en vain que le recourant se plaint de la durée de son expulsion du territoire. L'autorité précédente n'a en particulier pas abusé de son pouvoir d'appréciation en fixant celle-ci à cinq ans, soit à la durée minimale prévue à l' art. 66a al. 1 CP .</w:t>
      </w:r>
    </w:p>
    <w:p>
      <w:r>
        <w:rPr>
          <w:b/>
        </w:rPr>
        <w:t>E. 7</w:t>
      </w:r>
    </w:p>
    <w:p>
      <w:r>
        <w:t>Mal fondé, le recours doit être rejeté dans la mesure où il est recevable. Vu l'issue de la procédure, le recourant supportera les frais judiciaires ( art. 66 al. 1 LTF ). La cause étant jugée, la demande d'effet suspensif n'a plus d'objet. Au demeurant, le recours en matière pénale interjeté contre un prononcé d'expulsion déploie de plein droit un effet suspensif (arrêt 6B_930/2021 du 31 août 2022 consid. 7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