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6B_140/2018 vom 23. November 2018</w:t>
      </w:r>
    </w:p>
    <w:p>
      <w:r>
        <w:t>Bundesgericht, 2018-11-23, DE</w:t>
      </w:r>
    </w:p>
    <w:p>
      <w:r>
        <w:rPr>
          <w:b/>
        </w:rPr>
        <w:t xml:space="preserve">Quelle: </w:t>
      </w:r>
      <w:r>
        <w:t>https://mcp.opencaselaw.ch/entscheid/bger_6B_140_2018</w:t>
      </w:r>
    </w:p>
    <w:p>
      <w:r>
        <w:t>FR: TF 6B_140/2018 du 23 novembre 2018</w:t>
      </w:r>
    </w:p>
    <w:p>
      <w:r>
        <w:t>IT: TF 6B_140/2018 del 23 novembre 2018</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Der Beschwerdeführer hat seine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2.3</w:t>
      </w:r>
    </w:p>
    <w:p>
      <w:r>
        <w:t>Der Beschwerdeführer hat sich im Verfahren ausdrücklich als Privatkläger konstituiert und Zivilforderungen geltend gemacht ( Art. 118 Abs. 1 StPO ; Beschwerde S. 5; Untersuchungsakten act. vvv 0005 ff., 11). Die Vorinstanz hat seine Zivilansprüche auf den Zivilweg verwiesen. Soweit der Beschwerdeführer geltend macht, die Vorinstanz sei, da sie die beschuldigte Person schuldig gesprochen habe, grundsätzlich verpflichtet gewesen, auch über die Zivilansprüche zu entscheiden, kann auf seine Beschwerde eingetreten werden.</w:t>
      </w:r>
    </w:p>
    <w:p>
      <w:r>
        <w:rPr>
          <w:b/>
        </w:rPr>
        <w:t>E. 3.1</w:t>
      </w:r>
    </w:p>
    <w:p>
      <w:r>
        <w:t>Der Beschwerdeführer wendet sich gegen die Verweisung seiner Schadenersatzforderung auf den Zivilweg. Er macht geltend, er habe am 12. Juni 2003 im Umfang von CHF 102'000.-- in den S.________ Fund investiert (Beschwerde S. 5 f.; vgl. Anhang zum angefochtenen Urteil S. 66). Aus den rechtshilfeweise erhobenen Bankunterlagen ergäben sich keinerlei Hinweise darauf, dass von der ursprünglichen Anlage je Dividendenzahlungen oder Rückzahlungen der erworbenen Anteile erfolgt wären. Trotz der vollkommen identischen Beweislage wie bei dem - vom selben Rechtsanwalt vertretenen - Geschädigten T.________ (Geschädigtennummer ppp), welchem die Vorinstanz Schadenersatz (in Höhe seiner ursprünglichen Einlage von CHF 50'950.--, zzgl. Zins zu 5% seit dem 1. Oktober 2004) zugesprochen habe (angefochtenes Urteil S. 114 und 144 [Dispositiv-Ziff. IV. 1.2.1]), sei seine Zivilforderung vollumfänglich auf den Zivilweg verwiesen worden (Beschwerde S. 5 ff.).</w:t>
      </w:r>
    </w:p>
    <w:p>
      <w:r>
        <w:t>Der Beschwerdeführer macht in diesem Zusammenhang zunächst Willkür geltend. Die Vorinstanz sei innerhalb desselben Verfahrens in Bezug auf zwei in tatsächlicher und rechtlicher Hinsicht identische Sachverhalte, die mit den selben eingereichten Beweismitteln nachgewiesen seien, zu unterschiedlichen Ergebnissen gelangt. Das angefochtene Urteil sei insofern widersprüchlich und unhaltbar (Beschwerde S. 12 ff.). Darüber hinaus nehme die Vorinstanz willkürlich an, es bestünden hinsichtlich des Verlaufs seiner Investition und bezüglich Zins- und Rückzahlungen Unklarheiten. Die Höhe der angelegten Gelder und deren Eingang bei der P.________ Ltd., Nassau, Bahamas, die Zeichnung der Fundanteile sowie die Entwicklung der Anlage ergäben sich aus den im Untersuchungsverfahren ins Recht gelegten Dokumenten, namentlich aus der Bankbestätigung, der Subscription Confirmation, dem Cash Transaction Report, dem P.________ Activity Form, der SWIFT Meldung und dem Quarterly valuation report (Beschwerde S. 5 ff.; Beschwerdebeilagen 4.3, 4.7, 5.1-5.3; Untersuchungsakten act. vvv 0039 ff.). Diese Dokumente bildeten vollumfänglichen Beweis für die Einzahlung und Überweisung des investierten Kapitals sowie dessen Eingang. Der Verlauf der Investition sei mithin vollständig nachgewiesen. Dasselbe gelte hinsichtlich der Zins- und Kapitalrückzahlungen. Aus der umfassenden Dokumentation in den Verfahrensakten ergebe sich, dass weder Zins- noch Kapitalrückzahlungen erfolgt seien. Damit bestehe in Bezug auf die Höhe des erlittenen Schadens keinerlei Zweifel (Beschwerde S. 17 ff.).</w:t>
      </w:r>
    </w:p>
    <w:p>
      <w:r>
        <w:t>Im Weiteren rügt der Beschwerdeführer eine Verletzung der Begründungspflicht. Die Erwägungen im angefochtenen Urteil liessen nicht erkennen, aus welchen Gründen die Vorinstanz zum Schluss gelangt sei, der Nachweis des erlittenen Schadens sei nicht erbracht worden. Es gehe aus jenen auch nicht hervor, inwiefern sich die Vorinstanz mit seinen Vorbringen und den eingereichten Beweisen auseinandergesetzt habe (Beschwerde S. 15 ff.).</w:t>
      </w:r>
    </w:p>
    <w:p>
      <w:r>
        <w:rPr>
          <w:b/>
        </w:rPr>
        <w:t>E. 3.2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w:t>
      </w:r>
    </w:p>
    <w:p>
      <w:r>
        <w:t>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4.1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4.2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5.1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5.2</w:t>
      </w:r>
    </w:p>
    <w:p>
      <w:r>
        <w:t>Der Beschwerdeführer hat gegen X.________ Schadenersatz in der Höhe von CHF 115'927.40.--, nebst Zins zu 5% seit dem 1. Dezember 2014 geltend gemacht (Beschwerde S. 5; Untersuchungsakten act. vvv 0011). In Bezug auf diese Zivilforderung finden sich im angefochtenen Urteil keine speziellen Erwägungen. Es ergibt sich aus ihm lediglich in indirekter Weise, dass die Vorinstanz zum Schluss gelangt ist, die Schadenersatzforderung des Beschwerdeführers sei nicht genügend substantiiert. Dies leitet sich aus dem Umstand ab, dass der Beschwerdeführer in der Liste derjenigen Privatkläger aufgeführt ist, deren Zivilforderungen die Vorinstanz auf den Zivilweg verwiesen hat (angefochtenes Urteil S. 104 ff., 107, 162 ff., 165).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w:t>
      </w:r>
    </w:p>
    <w:p>
      <w:r>
        <w:t>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w:t>
      </w:r>
    </w:p>
    <w:p>
      <w:r>
        <w:t>Im vorliegenden Fall hat der Beschwerdeführer den Verlauf seiner Investition in seiner Beschwerde explizit und eingehend dargelegt. Seine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des Beschwerdeführers auf den Zivilweg jedenfalls nicht evident. Mangels auf den konkreten Fall bezogener Erwägungen der Vorinstanz lässt sich indes nicht beurteilen, gestützt auf welche Tatsachen und Überlegungen sie in Bezug auf den Beschwerdeführer zum Ergebnis gelangt ist, es bestünden hinsichtlich des Verlaufs seiner Investition Unklarheiten. Es ist daher nicht ersichtlich, welche Gründe sie dazu bewogen haben, die Forderung des Beschwerdeführers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im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6</w:t>
      </w:r>
    </w:p>
    <w:p>
      <w:r>
        <w:t>Aus diesen Gründen ist die Beschwerde gutzuheissen. Bei diesem Ausgang des Verfahrens sind keine Kosten zu erheben ( Art. 66 Abs. 1 und 4 BGG ). Eine Entschädigung des Beschwerdeführers nach Art. 433 StPO zu Lasten von X.________ fällt im bundesgerichtlichen Verfahren ausser Betracht. Hingegen ist jenem zu Lasten der Schweizerischen Eidgenossenschaft (Bundesanwaltschaft)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