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6B_1408/2019 vom 9. März 2020</w:t>
      </w:r>
    </w:p>
    <w:p>
      <w:r>
        <w:t>Bundesgericht, 2020-03-09, DE</w:t>
      </w:r>
    </w:p>
    <w:p>
      <w:r>
        <w:rPr>
          <w:b/>
        </w:rPr>
        <w:t xml:space="preserve">Quelle: </w:t>
      </w:r>
      <w:r>
        <w:t>https://mcp.opencaselaw.ch/entscheid/bger_6B_1408_2019</w:t>
      </w:r>
    </w:p>
    <w:p>
      <w:r>
        <w:t>FR: TF 6B_1408/2019 du 9 mars 2020</w:t>
      </w:r>
    </w:p>
    <w:p>
      <w:r>
        <w:t>IT: TF 6B_1408/2019 del 9 marzo 2020</w:t>
      </w:r>
    </w:p>
    <w:p>
      <w:pPr>
        <w:pStyle w:val="Heading2"/>
      </w:pPr>
      <w:r>
        <w:t>Erwägungen</w:t>
      </w:r>
    </w:p>
    <w:p>
      <w:r>
        <w:rPr>
          <w:b/>
        </w:rPr>
        <w:t>E. 1</w:t>
      </w:r>
    </w:p>
    <w:p>
      <w:r>
        <w:t>Das Kantonsgericht Wallis trat am 6. November 2019 auf eine Beschwerde gegen eine Nichtanhandnahmeverfügung nicht ein, weil diese den Begründungsanforderungen nicht ansatzweise entsprach. Auf eine Rückweisung zur Verbesserung wurde verzichtet.</w:t>
      </w:r>
    </w:p>
    <w:p>
      <w:r>
        <w:t>Die Beschwerdeführerin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um die Fragen gehen, ob das Kantonsgericht zu Unrecht von einer Rückweisung zur Verbesserung absah und auf die Beschwerde mangels tauglicher Begründung zu Unrecht nicht eintrat. Damit befasst sich die Beschwerdeführerin vor Bundesgericht jedoch nicht. Stattdessen schildert sie wortreich die Prozessgeschichte und die materielle Seite der Angelegenheit, wozu sich das Bundesgericht indes nicht äussern kann. Die Beschwerde genügt den Begründungsanforderungen nicht ( Art. 42 Abs. 2 BGG ). Darauf ist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