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1407/2021 vom 7. November 2022</w:t>
      </w:r>
    </w:p>
    <w:p>
      <w:r>
        <w:t>Bundesgericht, 2022-11-07, FR</w:t>
      </w:r>
    </w:p>
    <w:p>
      <w:r>
        <w:rPr>
          <w:b/>
        </w:rPr>
        <w:t xml:space="preserve">Quelle: </w:t>
      </w:r>
      <w:r>
        <w:t>https://mcp.opencaselaw.ch/entscheid/bger_6B_1407_2021</w:t>
      </w:r>
    </w:p>
    <w:p>
      <w:r>
        <w:t>FR: TF 6B 1407/2021 du 7 novembre 2022</w:t>
      </w:r>
    </w:p>
    <w:p>
      <w:r>
        <w:t>IT: TF 6B 1407/2021 del 7 novembre 2022</w:t>
      </w:r>
    </w:p>
    <w:p>
      <w:pPr>
        <w:pStyle w:val="Heading2"/>
      </w:pPr>
      <w:r>
        <w:t>Regeste</w:t>
      </w:r>
    </w:p>
    <w:p>
      <w:r>
        <w:t>Tentative de contrainte; faux dans les titres; obtention frauduleuse d'une constatation fausse; fixation de la peine | Droit pénal (en général)</w:t>
      </w:r>
    </w:p>
    <w:p>
      <w:pPr>
        <w:pStyle w:val="Heading2"/>
      </w:pPr>
      <w:r>
        <w:t>Erwägungen</w:t>
      </w:r>
    </w:p>
    <w:p>
      <w:r>
        <w:rPr>
          <w:b/>
        </w:rPr>
        <w:t>E. 1.1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et les réf. citées; arrêt 6B_55/2021 du 25 février 2021 consid. 3).</w:t>
      </w:r>
    </w:p>
    <w:p>
      <w:r>
        <w:rPr>
          <w:b/>
        </w:rPr>
        <w:t>E. 1.2</w:t>
      </w:r>
    </w:p>
    <w:p>
      <w:r>
        <w:t>En l'espèce, par des explications décousues et peu compréhensibles, parfois rédigées dans une teneur inutilement agressive, le recourant se borne principalement, en lien avec ses condamnations, à rediscuter librement l'appréciation des preuves et les constatations de fait ressortant du jugement attaqué, sans structurer clairement son propos, ni esquisser une quelconque motivation topique destinée à démontrer en quoi les juges précédents auraient versé dans l'arbitraire au moment de constater les faits. De tels développements, essentiellement appellatoires, ne répondent pas aux exigences de motivation déduites des art. 42 al. 2 et 106 al. 2 LTF, et sont partant irrecevables.</w:t>
      </w:r>
    </w:p>
    <w:p>
      <w:r>
        <w:rPr>
          <w:b/>
        </w:rPr>
        <w:t>E. 1.3</w:t>
      </w:r>
    </w:p>
    <w:p>
      <w:r>
        <w:t>En tant que le recourant se plaint par ailleurs que le jugement attaqué a été rendu par le Juge D.________, en qualité de président, et non par la Juge suppléante E.________, comme cela lui aurait été annoncé initialement, il n'explique pas avoir eu un motif de récusation à faire valoir contre l'un ou l'autre juge ayant composé la cour cantonale, ni n'explique avoir déposé une demande de récusation dans les formes et les délais prescrits (cf. art. 58 al. 1 CPP ). Aussi, dans la mesure où le recourant se limite à soutenir que le président a "enfreint beaucoup plus de lois [que lui]", il ne fait nullement mention de règles ou de principes procéduraux qui auraient selon lui été méconnus par le précité, en violation des art. 42 al. 2 et 106 al. 2 LTF. A tout le moins, en tant que le recourant paraît se plaindre que le dispositif qui lui avait été adressé par la cour cantonale n'aurait pas contenu l'indication de voies de recours, tel n'est pas le cas du jugement motivé qui lui a été notifié, son recours en matière pénale ayant au demeurant été déposé en temps et lieu utiles. Le recours est également irrecevable à cet égard. Il en va ainsi de même en ce qui concerne les reproches du recourant visant le procureur qui serait devenu furieux et aurait voulu "une condamnation à tout prix", "jusqu'à se prendre pour un expert", sans qu'il détaille plus avant les circonstances qu'il avance, ni n'explique s'en être plaint préalablement au cours de la procédure pénale.</w:t>
      </w:r>
    </w:p>
    <w:p>
      <w:r>
        <w:rPr>
          <w:b/>
        </w:rPr>
        <w:t>E. 2</w:t>
      </w:r>
    </w:p>
    <w:p>
      <w:r>
        <w:t>Le recourant fait valoir au surplus que les actes en lien avec le courrier adressé le 15 juillet 2019 à sa bailleresse, l'intimée B.________ (cf. let. B.b supra ), ne sont pas constitutifs de tentative de contrainte au sens des art. 22 et 181 CP .</w:t>
      </w:r>
    </w:p>
    <w:p>
      <w:r>
        <w:rPr>
          <w:b/>
        </w:rPr>
        <w:t>E. 2.1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arrêts 6B_637/2022 du 29 septembre 2022 consid. 5.1.2;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 art. 181 CP .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 ATF 120 IV 17 consid. 2a/bb; 115 IV 207 consid. 2b/cc). A l'instar du dépôt d'une plainte pénale, la notification d'un commandement de payer est licite lorsqu'on est fondé à réclamer une somme. En revanche, utiliser un tel procédé comme moyen de pression est clairement abusif, donc illicite ( ATF 115 III 18 consid. 3; arrêts 6B_1116/2021 du 22 juin 2022 consid. 2.1; 6B_1082/2021 du 18 mars 2022 consid. 2.1; 6B_124/2017 du 27 octobre 2017 consid. 2.1). Lorsque la victime ne se laisse pas intimider et n'adopte pas le comportement voulu par l'auteur, ce dernier est punissable de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w:t>
      </w:r>
    </w:p>
    <w:p>
      <w:r>
        <w:rPr>
          <w:b/>
        </w:rPr>
        <w:t>E. 2.2</w:t>
      </w:r>
    </w:p>
    <w:p>
      <w:r>
        <w:t>Pour rappel, la cour cantonale a tenu pour établi que, le 15 juillet 2019, le recourant avait adressé à l'intimée, qui venait de lui signifier la résiliation du bail, un courrier exigeant d'elle le paiement d'un montant de 80'600 fr. dans un délai de 30 jours pour "atteinte à la personnalité", en la menaçant à cette occasion d'introduire des poursuites pour obtenir le montant précité, ceci à moins qu'un arrangement soit trouvé (cf. jugement attaqué, ad "En fait" let. C.2.2).</w:t>
      </w:r>
    </w:p>
    <w:p>
      <w:r>
        <w:rPr>
          <w:b/>
        </w:rPr>
        <w:t>E. 2.3</w:t>
      </w:r>
    </w:p>
    <w:p>
      <w:r>
        <w:t>Le recourant soutient, en substance, avoir été en droit de réclamer le montant de 80'600 fr. évoqué ci-avant, qui correspondrait à l'entier des loyers payés pendant la durée du bail, ce qui rendrait selon lui licite sa menace de mise en poursuite.</w:t>
      </w:r>
    </w:p>
    <w:p>
      <w:r>
        <w:rPr>
          <w:b/>
        </w:rPr>
        <w:t>E. 2.3.1</w:t>
      </w:r>
    </w:p>
    <w:p>
      <w:r>
        <w:t>Se prévalant d'un "vice caché" affectant le bail le liant avec l'intimée, sans développer plus avant la nature d'un tel vice, le recourant n'indique pas pour autant les raisons permettant de conclure à l'existence d'une atteinte à la personnalité. Il ne parvient ainsi pas à démontrer en quoi la cour cantonale aurait violé le droit en retenant l'absence de fondement de la créance qu'il menaçait de faire valoir par voie de poursuites. Au reste, on ne voit pas qu'il était critiquable de retenir que le montant réclamé par le recourant était abusif, en tant qu'il ne se rapportait à aucun dommage subi. Il n'est à cet égard pas décisif que, lors d'une séance de conciliation tenue ultérieurement au Tribunal des baux, un accord est intervenu quant à une prolongation de bail, rien n'indiquant que cet arrangement a été trouvé en raison de prétentions pécuniaires que le recourant aurait été fondé à faire valoir. Le recourant ne conteste par ailleurs pas que le courrier du 15 juillet 2019 a été rédigé en réaction à la résiliation du bail, qu'il entendait ainsi voir annulée, ni ne revient sur le constat de la cour cantonale selon lequel l'intimée devait être considérée comme une personne de sensibilité moyenne, ne jouissant pas d'une expérience ou de connaissances particulières en matière juridique ou commerciale.</w:t>
      </w:r>
    </w:p>
    <w:p>
      <w:r>
        <w:rPr>
          <w:b/>
        </w:rPr>
        <w:t>E. 2.3.2</w:t>
      </w:r>
    </w:p>
    <w:p>
      <w:r>
        <w:t>Dans ce contexte, la menace tendant à l'introduction de poursuites portant sur une créance importante et dénuée de fondement, telle que formulée par le recourant dans son courrier à l'attention de l'intimée pour un montant de 80'600 fr., constituait un moyen de pression abusif, propre à l'entraver de manière illicite dans sa liberté de décision (soit en l'occurrence celle de mettre un terme au contrat de bail), à l'instar de ce que peut représenter, dans d'autres circonstances, la menace du dépôt d'une plainte pénale (cf. ATF 120 IV 17 consid. 2a/aa; arrêts 6B_1336/2021 du 24 mars 2022 consid. 1.1; 6B_406/2020 du 20 août 2020 consid. 2). Dans la mesure où la bailleresse ne s'est pas laissée intimider par la démarche du recourant, puisqu'elle a refusé d'entrer en matière sur une prolongation de bail avant la séance du Tribunal des baux, qui s'est tenue 7 mois plus tard, c'est à juste titre que les juridictions cantonales ont retenu que seule la tentative de contrainte entrait en considération. Le recourant ayant en outre agi intentionnellement, sa condamnation pour tentative de contrainte ( art. 181 CP en lien avec l' art. 22 CP ) n'est pas contraire au droit fédéral.</w:t>
      </w:r>
    </w:p>
    <w:p>
      <w:r>
        <w:rPr>
          <w:b/>
        </w:rPr>
        <w:t>E. 3</w:t>
      </w:r>
    </w:p>
    <w:p>
      <w:r>
        <w:t>Le recourant tente également de démontrer que l'exemplaire du commandement de payer remis à l'Office des poursuites le 29 avril 2019 (cf. let. B.a supra ) ne constituait pas un faux au sens de l' art. 251 CP . Il se plaint en particulier que l'exemplaire en cause n'a pas fait l'objet d'un examen par expertise, lors même que l'authenticité d'une copie de ce document a été attestée par acte notarié. Son argumentation ne suffit toutefois pas à démontrer l'arbitraire du raisonnement de la cour cantonale qui a constaté que le document avait bien été falsifié. Celle-ci pouvait en particulier se fonder sur la distance entre la ligne continue figurant au dos du commandement de payer, sous la mention "opposition", et celle en traitillé, sous l'indication "montant contesté", qui était de 6,9 cm dans l'exemplaire destiné au créancier produit par l'Office des poursuites, ainsi que dans celui destiné au débiteur produit par l'OAI, alors qu'elle était de 7,3 cm dans la copie incriminée. Quoi qu'en dise le recourant, la cour cantonale n'était pas empêchée de constater, par elle-même, une différence de 4 mm en comparant la distance entre deux lignes dans la copie litigieuse et celle entre les mêmes lignes dans les exemplaires produits par l'OAI et l'Office des poursuites. Pour le surplus, la cour cantonale pouvait tenir pour invraisemblable l'hypothèse du recourant selon laquelle l'Office des poursuites lui aurait envoyé une copie destinée au créancier, sans la croix dans la case "opposition totale", mais aurait gardé l'original du commandement de payer en question, pour ensuite se mettre d'accord avec l'OAI afin que la croix y figure. Elle pouvait enfin également prendre en considération que le recourant avait été condamné pour faux dans les titres, dans le cadre d'une autre procédure, en lien avec des faits similaires selon le même stratagème; par vengeance, l'intéressé avait alors fait notifier un commandement de payer d'un montant de 990'000 fr. à la société qui venait de licencier sa fille (cf. jugement attaqué, consid. 3.3 p. 6 s.). Aussi, le recourant ne contestant pas avoir agi en vue d'obtenir la continuation de la poursuite malgré l'opposition formée par le débiteur et de se procurer ainsi un avantage illicite, sa condamnation pour faux dans les titres ( art. 251 ch. 1 CP ) ne viole pas le droit fédéral.</w:t>
      </w:r>
    </w:p>
    <w:p>
      <w:r>
        <w:rPr>
          <w:b/>
        </w:rPr>
        <w:t>E. 4</w:t>
      </w:r>
    </w:p>
    <w:p>
      <w:r>
        <w:t>En tant que le recourant conteste sa condamnation pour obtention frauduleuse d'une constatation fausse ( art. 253 CP ), il se borne à soutenir que la copie du commandement de payer présentée au notaire n'était pas un document falsifié. Il suffit à cet égard de renvoyer à la motivation développée ci-avant (cf. consid. 3 supra ).</w:t>
      </w:r>
    </w:p>
    <w:p>
      <w:r>
        <w:rPr>
          <w:b/>
        </w:rPr>
        <w:t>E. 5</w:t>
      </w:r>
    </w:p>
    <w:p>
      <w:r>
        <w:t>Le recourant ne consacre enfin aucune critique quant à la peine qui lui a été infligée.</w:t>
      </w:r>
    </w:p>
    <w:p>
      <w:r>
        <w:rPr>
          <w:b/>
        </w:rPr>
        <w:t>E. 6</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