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6B_1401/2017 vom 19. September 2018</w:t>
      </w:r>
    </w:p>
    <w:p>
      <w:r>
        <w:t>Bundesgericht, 2018-09-19, DE</w:t>
      </w:r>
    </w:p>
    <w:p>
      <w:r>
        <w:rPr>
          <w:b/>
        </w:rPr>
        <w:t xml:space="preserve">Quelle: </w:t>
      </w:r>
      <w:r>
        <w:t>https://mcp.opencaselaw.ch/entscheid/bger_6B_1401_2017</w:t>
      </w:r>
    </w:p>
    <w:p>
      <w:r>
        <w:t>FR: TF 6B_1401/2017 du 19 septembre 2018</w:t>
      </w:r>
    </w:p>
    <w:p>
      <w:r>
        <w:t>IT: TF 6B_1401/2017 del 19 settembre 2018</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 gleichen Parteien sowie ähnliche oder gleiche Rechtsfragen betreffen (vgl. BGE 133 IV 215 E. 1 S. 217; 126 V 283 E. 1; Urteil 6B_701/2017 vom 12. Januar 2018 E. 1.1). Diese Voraussetzungen sind im vorliegenden Fall erfüllt. Es rechtfertigt sich daher, die beiden Beschwerden gestützt auf Art. 71 BGG in sinngemässer Anwendung von Art. 24 Abs. 2 lit. b BZP zu vereinigen und in einem einzigen Entscheid zu beurteilen.</w:t>
      </w:r>
    </w:p>
    <w:p>
      <w:r>
        <w:rPr>
          <w:b/>
        </w:rPr>
        <w:t>E. 2</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Nach lit. b Ziff. 5 derselben Bestimmung ist zur Erhebung der Beschwerde insbesondere die Privatklägerschaft legitimiert, wenn sich der angefochtene Entscheid auf die Beurteilung ihrer Zivilansprüche auswirken kann. Dies setzt voraus, dass die Privatklägerschaft, soweit zumutbar und möglich, ihre Zivilansprüche im Strafverfahren geltend gemacht hat.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Nach der Rechtsprechung werden Schadenersatz- und Genugtuungsansprüche der geschädigten Person, welche das kantonale obere Gericht oder das Bundesstrafgericht auf den Zivilweg verweisen, nicht zusammen mit der Strafsache behandelt. Sie können daher nicht auf Beschwerde in Strafsachen hin vom Bundesgericht beurteilt werden (Urteile des Bundesgerichts 6B_176/2011 vom 23. Dezember 2011 E. 2.3; 6B_89/2009 vom 29. Oktober 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 in: Basler Kommentar, Bundesgerichtsgesetz, 2. Aufl. 2011, N 32 zu Art. 78). Dies gilt nach der geltenden Rechtslage (Art. 81 Abs. 1 lit. b Ziff. 5 BGG vom 20. März 2008, in Kraft sei 1. Januar 2011) auch für die Privatklägerschaft unabhängig von ihrer Opferstellung (offengelassen unter der Herrschaft des früheren Rechts in Urteil 6B_89/2009 vom 29. Oktober 2009 E. 1.2.1). Der Beschwerdeführer macht geltend, die Vorinstanz sei grundsätzlich verpflichtet gewesen, auch über die Zivilansprüche zu entscheiden, da sie die beschuldigten Personen schuldig gesprochen habe (Beschwerden je S. 3 f.). Auf die Beschwerden ist insofern einzutreten.</w:t>
      </w:r>
    </w:p>
    <w:p>
      <w:r>
        <w:rPr>
          <w:b/>
        </w:rPr>
        <w:t>E. 3.1</w:t>
      </w:r>
    </w:p>
    <w:p>
      <w:r>
        <w:t>Der Beschwerdeführer rügt eine Verletzung von Art. 126 Abs. 1 StPO und Art. 29 Abs. 2 BV . Die Vorinstanz habe seine auf das strafbare Verhalten der Beschwerdegegner gegründeten Schadenersatzforderungen ohne stichhaltige Gründe auf den Zivilweg verwiesen, obwohl alle Voraussetzungen für einen Entscheid erfüllt gewesen seien (Beschwerden je S. 4). Der Beschwerdeführer räumt ein, dass er für die Dienste der A.________ GmbH grundsätzlich eine angemessene Kommission zu leisten gehabt habe. Er sei indes durch die Übermässigkeit der erhobenen Kommissionen geschädigt worden. Zur Berechnung der Angemessenheit der Kommission sei auf die amerikanischen "Guidelines for discretionary accounts" abzustellen, nach welchen Transaktionskosten von mehr als 15% des monatlichen Durchschnittswerts eines Kontos als exzessiv und damit als übermässig gälten. Diese "Guidelines" erschienen unabhängig von ihrer unmittelbaren Anwendbarkeit zur Berechnung der Übermässigkeit der Kosten als vernünftig und nachvollziehbar. Sie seien zudem vom Beschwerdegegner Y.________ unterzeichnet gewesen und bei der Hausdurchsuchung in Zürich aufgefunden worden. Die Auffassung der Vorinstanz, wonach diese nicht für die Bestimmung der maximal zulässigen Transaktionskosten herangezogen werden könnten, sei haltlos (Beschwerden je S. 5 f.). Es treffe auch nicht zu, dass er es unterlassen habe, den Schaden gestützt auf reale Daten zu berechnen und zu beziffern. Die Transaktionskosten hätten sich im Handelszeitraum von Oktober bis Dezember 2006 auf insgesamt USD 169'000.-- und die Kommissionen gesamthaft auf USD 161'557.-- belaufen; das durchschnittlich in diesem Zeitraum eingesetzte Nettovermögen habe USD 32'901.82 betragen. Nach der 15%-Regel hätten die maximal zulässigen Transaktionskosten einen Betrag von monatlich USD 4'935.27 bzw. gesamthaft von USD 14'805.81 nicht übersteigen dürfen. In Wirklichkeit hätten die Beschwerdegegner indessen USD 161'557.-- generiert. Daraus ergebe sich, dass die Kommissionen im Umfang von USD 146'751.19 bzw. CHF 183'820.54 (Umrechnungskurs per 21. November 2006) übermässig gewesen seien. Diesen Betrag habe er als Schaden geltend gemacht. Die Vorinstanz habe es unterlassen, darüber zu entscheiden und gegebenenfalls selbst eine Regel zur Berechnung der Übermässigkeit der Kommissionen zu bilden (Beschwerden je S. 6 f.).</w:t>
      </w:r>
    </w:p>
    <w:p>
      <w:r>
        <w:rPr>
          <w:b/>
        </w:rPr>
        <w:t>E. 3.2.1</w:t>
      </w:r>
    </w:p>
    <w:p>
      <w:r>
        <w:t>Die Vorinstanz nimmt unter Verweisung auf das erstinstanzliche Urteil an, es sei nicht erwiesen, ob und inwieweit die vom Beschwerdegegner Y.________ jeweils eingeschlagene Handelsstrategie und die einzeln vorgenommenen Trades sorgfalts- oder pflichtwidrig gewesen seien. Auch das Bundesgericht habe im Rückweisungsentscheid festgehalten, es sei üblich, dass beim An- und Verkauf von Wertpapieren oder Terminkontrakten zugunsten des Brokers oder der Bank Kommissionen anfielen. Dem Beschwerdegegner Y.________ werde denn auch nicht vorgeworfen, dass er für seine Tätigkeit überhaupt Kommissionen erhoben habe. Ebensowenig würde deren Höhe beanstandet. Demnach habe dieser lediglich insoweit schuldhaft widerrechtlich gehandelt, als er pflichtwidrig in einem derartigen Übermass Kommissionen einkassiert habe, dass dem Beschwerdeführer jegliche Gewinnchance genommen worden sei. Gegenstand der Anklage bilde allein die exzessive Häufigkeit der Transaktionen, welche zur Folge gehabt habe, dass das Anlagevermögen wegen der Höhe der erhobenen Kommissionen weitgehend aufgezehrt worden sei. Der Beschwerdeführer sei mithin nicht im Umfang des gesamten erlittenen Verlusts von USD 229'110.48, sondern lediglich im Umfang der übermässigen Kommissionen, jedoch immer noch im tiefen sechsstelligen Bereich geschädigt worden (angefochtene Urteile S. 24 f. [Y.________] bzw. 28 f. [X.________]).</w:t>
      </w:r>
    </w:p>
    <w:p>
      <w:r>
        <w:t>In Bezug auf die Höhe der angemessenen Kommissionen für die Dienste der A.________ GmbH nimmt die Vorinstanz an, das vom Beschwerdeführer unterzeichnete "Customer Account Agreement" (CAA) der C.________ halte zwar fest, dass jener die A.________ GmbH für deren Handelstätigkeit mit sogenannten "transactional commissions" entschädige. Über deren Höhe lasse sich dem CCA indes nichts entnehmen. Auf die 15%-Regel der amerikanischen "Guidelines for discretionary accounts" könne jedenfalls nicht abgestellt werden. Es sei fraglich, ob diese Richtlinien überhaupt auf das dem schweizerischen Recht unterstehende Verhältnis zwischen dem Beschwerdeführer und der A.________ GmbH Anwendung fänden, zumal keine Anhaltspunkte dafür bestünden, dass diese Gegenstand der vertraglichen Beziehung gebildet hätten. Zudem sei das entsprechende Dokument durchgestrichen und inhaltlich ohnehin sehr allgemein gehalten gewesen. Es könne mithin zur Berechnung der Entschädigung der A.________ GmbH für die von ihr geleisteten Dienste nicht von den maximal zulässigen Transaktionskosten gemäss den "Guidelines for discretionary accounts" ausgegangen werden. Die Schadenersatzansprüche des Beschwerdeführers seien daher zufolge Illiquidität auf den Zivilweg zu verweisen (angefochtene Urteile S. 25 f. [Y.________] bzw. 29 f. [X.________]; vgl. auch erstinstanzliche Urteile S. 47 [Y.________] bzw. S. 44 [X.________]).</w:t>
      </w:r>
    </w:p>
    <w:p>
      <w:r>
        <w:rPr>
          <w:b/>
        </w:rPr>
        <w:t>E. 3.2.2</w:t>
      </w:r>
    </w:p>
    <w:p>
      <w:r>
        <w:t>Die erste Instanz hatte erwogen, es sei nicht erwiesen, ob und inwieweit die vom Beschwerdegegner Y.________ eingeschlagene Strategie und die einzeln vorgenommenen Trades sorgfalts- oder pflichtwidrig gewesen sein sollten. Der Beschwerdegegner habe sich lediglich insoweit schuldhaft widerrechtlich verhalten, als er pflichtwidrig in einem derartigen Übermass Kommissionen einkassiert habe, das dem Beschwerdeführer jegliche Gewinnchance genommen habe. Soweit der Beschwerdeführer den Ersatz von Handelsverlusten oder von Kommission in angemessenem Umfang verlange, fehle es an der Widerrechtlichkeit und dem Verschulden. Der Beschwerdeführer sei somit lediglich, aber immerhin im Umfang der exorbitant vereinnahmten Kommissionen in widerrechtlicher Weise geschädigt worden. Es sei dem Beschwerdeführer möglich und zuzumuten gewesen, diesen Schaden gestützt auf reale Daten zu berechnen und zu beziffern. Da dies unterblieben sei, sei die Zivilklage in diesem Punkt auf den Zivilweg zu verweisen (erstinstanzliche Urteile S. 46 f. [Y.________] bzw. S. 44 [X.________]).</w:t>
      </w:r>
    </w:p>
    <w:p>
      <w:r>
        <w:rPr>
          <w:b/>
        </w:rPr>
        <w:t>E. 4.1</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(Urteile 6B_443/2017 vom 5. April 2018 E. 3.1; 6B_75/2014 vom 30. September 2014 E. 2.4.3; je mit Hinweisen). Gemäss Abs. 2 derselben Bestimmung wird die Zivilklage auf den Zivilweg verwiesen, wenn die Privatklägerschaft ihre Klage nicht hinreichend begründet oder beziffert (lit. b; vgl. auch Art. 84 Abs. 2 und Art. 221 Abs. 1 lit. c und d ZPO ; BGE 137 III 617 E. 4.3 S. 619) oder die beschuldigte Person freigesprochen,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rPr>
          <w:b/>
        </w:rPr>
        <w:t>E. 4.2</w:t>
      </w:r>
    </w:p>
    <w:p>
      <w:r>
        <w:t>Der Beschwerdeführer hat im erstinstanzlichen Verfahren beantragt, die Beschwerdegegner seien solidarisch zu verpflichten, ihm den erlittenen Schaden in Höhe von CHF 289'619.--, eventualiter USD 229'110.48 zu ersetzen. Eventualiter seien die widerrechtlich einbehaltenen Retrozessionen im Umfang von CHF 177'077.84, eventualiter USD 136'600.--, jeweils zuzüglich 5% Zins seit dem 20. Dezember 2006 und unter Vorbehalt des Nachklagerechts für Währungsdifferenzen in US-Dollar, zu bezahlen (erstinstanzliches Urteil S. 4 und 45 [Y.________] bzw. S. 3 und 42 [X.________]).</w:t>
      </w:r>
    </w:p>
    <w:p>
      <w:r>
        <w:t>Im Berufungsverfahren hat der Beschwerdeführer beantragt, die Beschwerdegegner 1 und 2 seien in solidarischer Haftung zu verpflichten, ihm CHF 289'619.--, eventualiter USD 229'110.48 zuzüglich Zins seit 20. Dezember 2006 zu bezahlen. Eventualiter seien sie zur Zahlung von CHF 183'820.54, eventualiter USD 146'751.19 zuzüglich Zins zu 5% seit 5. Mai 2008 zu verpflichten (angefochtene Urteile S. 6 f. [Y.________] bzw. S. 7 [X.________]).</w:t>
      </w:r>
    </w:p>
    <w:p>
      <w:r>
        <w:rPr>
          <w:b/>
        </w:rPr>
        <w:t>E. 4.3</w:t>
      </w:r>
    </w:p>
    <w:p>
      <w:r>
        <w:t>Die Vorinstanz hat in den angefochtenen Urteilen die Beschwerdegegner schuldig gesprochen. Gemäss Art. 126 Abs. 1 lit. a StPO hatte sie demnach über die geltend gemachten Schadenersatzforderungen zu entscheiden (vgl. auch Urteil 6B_1216/2015 vom 21. September 2016 E. 9, nicht publ. in BGE 142 IV 346 ). Der Entscheid über die anhängig gemachte Zivilklage ist, soweit sie hinreichend begründet und beziffert ist, bei dieser Konstellation zwingend (Urteile 6B_604/2012 vom 16. Januar 2014 E. 6.2.2; Urteil 6B_75/2014 vom 30 September 2014 E. 2.4.3 und 2.4.4).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(ANNETTE DOLGE, in: Basler Kommentar, Schweizerische Strafprozessordnung, 2. Aufl. 2014, N 17/39 zu Art. 126).</w:t>
      </w:r>
    </w:p>
    <w:p>
      <w:r>
        <w:t>Im zu beurteilenden Fall hat der Beschwerdeführer im kantonalen Verfahren seine Zivilforderung hinreichend begründet und beziffert. Für die kantonalen Instanzen war mithin klar ersichtlich, auf welche rechtlichen und tatsächlichen Gründe jener seine Forderung stützte. Die Vorinstanz hätte daher nach der Rückweisung der Sache zur neuen Entscheidung über die Zivilforderung selbst urteilen und auf der Grundlage der Rechtsbegehren entscheiden müssen, in welchem Umfang der Beschwerdeführer durch die infolge der exzessiven Häufigkeit der Transaktionen erhobenen übermässigen Kommissionen geschädigt worden ist. Dass die vollständige Beurteilung des Zivilanspruchs unverhältnismässig aufwendig gewesen wäre, hat die Vorinstanz offensichtlich nicht angenommen, zumal sie die Zivilklage auch nicht nur dem Grundsatz nach entschieden und sie im Übrigen auf den Zivilweg verwiesen hat ( Art. 126 Abs. 3 StPO ). Dass dem so wäre, ist auch nicht ersichtlich</w:t>
      </w:r>
    </w:p>
    <w:p>
      <w:r>
        <w:t>Aus diesen Gründen verletzt die Verweisung der Schadenersatzforderung auf den Zivilweg durch die Vorinstanz Bundesrecht. Die angefochtenen Urteile sind daher aufzuheben und die Sache ist zur neuen Entscheidung an die Vorinstanz zurückzuweisen. Diese wird in ihrer neuen Entscheidung bei der Beurteilung der Schadenersatzforderung zu berücksichtigen haben, dass das Anlagevermögen durch die erhobenen Kommissionen weitgehend aufgezehrt worden ist bzw. dass die erlittenen Verluste im Umfang von 73% durch die angefallenen Kosten verursacht worden sind (vgl. zu den Berechnungen der Staatsanwaltschaft Urteil 6B_1216 und 1248/2015 vom 21. September 2016 E. 7.2).</w:t>
      </w:r>
    </w:p>
    <w:p>
      <w:r>
        <w:rPr>
          <w:b/>
        </w:rPr>
        <w:t>E. 5</w:t>
      </w:r>
    </w:p>
    <w:p>
      <w:r>
        <w:t>Die Beschwerden sind gutzuheissen. Bei diesem Ausgang des Verfahrens werden die unterliegenden Beschwerdegegner kostenpflichtig ( Art. 66 Abs. 1 BGG ). Der Beschwerdegegner X.________ stellt indes ein Gesuch um unentgeltliche Rechtspflege. Dieses kann gutgeheissen werden. Es sind ihm daher keine Kosten aufzuerlegen. Seinem Rechtsvertreter ist aus der Bundesgerichtskasse eine angemessene Entschädigung auszurichten ( Art. 64 Abs. 2 BGG ). Dem Beschwerdegegner Y.________ werden die Kosten des Verfahrens im Umfang der Hälfte des auf die Beschwerdegegner entfallenden Anteils auferlegt. Der Kanton Zürich hat dem anwaltlich vertretenen Beschwerdeführer eine angemessene Parteientschädigung zu entrichten ( Art. 68 BGG ). Der Oberstaatsanwaltschaft werden keine Kosten auferlegt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