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6B_139/2016 vom 21. November 2016</w:t>
      </w:r>
    </w:p>
    <w:p>
      <w:r>
        <w:t>Bundesgericht, 2016-11-21, FR</w:t>
      </w:r>
    </w:p>
    <w:p>
      <w:r>
        <w:rPr>
          <w:b/>
        </w:rPr>
        <w:t xml:space="preserve">Quelle: </w:t>
      </w:r>
      <w:r>
        <w:t>https://mcp.opencaselaw.ch/entscheid/bger_6B_139_2016</w:t>
      </w:r>
    </w:p>
    <w:p>
      <w:r>
        <w:t>FR: TF 6B_139/2016 du 21 novembre 2016</w:t>
      </w:r>
    </w:p>
    <w:p>
      <w:r>
        <w:t>IT: TF 6B_139/2016 del 21 novembre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Le lésé est celui dont les droits ont été touchés directement par une infraction ( art. 115 al. 1 CPP ). On ne saurait considérer comme lésé celui qui n'est atteint qu'indirectement, par contrecoup ou par ricochet, à l'image du cessionnaire ou des personnes subrogées ex lege ou ex contractu, de l'actionnaire ou de l'ayant droit économique d'une personne morale en cas d'infraction contre celle-ci. Selon l' art. 42 al. 1 LTF , il incombe notamment au recourant d'alléguer les faits qu'il considère comme propres à fonder sa qualité pour recourir (cf. ATF 133 II 353 consid. 1 p. 356, 249 consid. 1.1 p. 251).</w:t>
      </w:r>
    </w:p>
    <w:p>
      <w:r>
        <w:rPr>
          <w:b/>
        </w:rPr>
        <w:t>E. 1.2.1</w:t>
      </w:r>
    </w:p>
    <w:p>
      <w:r>
        <w:t>Le recourant reproche à la cour cantonale de lui avoir refusé la qualité de partie lésée s'agissant des préventions liées à la vente de l'activité fiduciaire.</w:t>
      </w:r>
    </w:p>
    <w:p>
      <w:r>
        <w:t>Le contrat de vente du 22 septembre 2004 a été signé par E.________ Ltd et B.________. Seule cette dernière a donc potentiellement été trompée et doit être considérée comme lésée. Le recourant, qui n'a fait que financer en partie l'achat de cette activité fiduciaire, n'est lésé qu'indirectement par la prétendue infraction d'escroquerie. C'est donc à juste titre que la cour cantonale a refusé la qualité de lésé au recourant.</w:t>
      </w:r>
    </w:p>
    <w:p>
      <w:r>
        <w:rPr>
          <w:b/>
        </w:rPr>
        <w:t>E. 1.2.2</w:t>
      </w:r>
    </w:p>
    <w:p>
      <w:r>
        <w:t>" L'exclusivité de la création des sociétés anglaises avec succursale en Suisse " et " les actions de la société F.________ Ltd, ainsi que les installations, machines et décoration du call center " ont été vendues à B.________ et au recourant, de sorte que ce dernier est directement touché par les infractions dénoncées. Il a participé à la procédure de dernière instance cantonale ( art. 81 al. 1 let . c LTF) et a pris des conclusions civiles en audience d'appel. Le jugement attaqué qui libère l'intimé des préventions liées à la vente de de " l'exclusivité de la création de Ltd " et du " call-center " et qui rejette les conclusions civiles du recourant est de nature à influer sur les prétentions civiles de celui-ci. Le recourant a donc qualité pour recourir.</w:t>
      </w:r>
    </w:p>
    <w:p>
      <w:r>
        <w:rPr>
          <w:b/>
        </w:rPr>
        <w:t>E. 2</w:t>
      </w:r>
    </w:p>
    <w:p>
      <w:r>
        <w:t>Le recourant s'en prend à la libération de l'intimé de tout chef d'accusation en relation avec la vente de l'activité fiduciaire.</w:t>
      </w:r>
    </w:p>
    <w:p>
      <w:r>
        <w:t>Comme vu ci-dessus, le recourant qui n'est pas lésé directement par cette vente n'a pas qualité pour recourir. Ses griefs sont irrecevables.</w:t>
      </w:r>
    </w:p>
    <w:p>
      <w:r>
        <w:rPr>
          <w:b/>
        </w:rPr>
        <w:t>E. 3</w:t>
      </w:r>
    </w:p>
    <w:p>
      <w:r>
        <w:t>Le recourant reproche à la cour cantonale d'avoir libéré l'intimé de l'accusation d'escroquerie en ce qui concerne l'acquisition du " call center ". Il fait valoir qu'il a été trompé, notamment par le chiffre d'affaires mensuel de 50'000 fr. avancé par le responsable du " call center ".</w:t>
      </w:r>
    </w:p>
    <w:p>
      <w:r>
        <w:rPr>
          <w:b/>
        </w:rPr>
        <w:t>E. 3.1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Pour qu'il y ait escroquerie, une simple tromperie ne suffit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w:t>
      </w:r>
    </w:p>
    <w:p>
      <w:r>
        <w:t>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6B_552/2013 du 9 janvier 2014, consid. 2.3.2; BERNARD CORBOZ, Les infractions en droit suisse, 3e éd., 2010, n° 32, ad art. 146 CP ).</w:t>
      </w:r>
    </w:p>
    <w:p>
      <w:r>
        <w:t>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3.2</w:t>
      </w:r>
    </w:p>
    <w:p>
      <w:r>
        <w:t>En l'espèce, le recourant était un professionnel du monde des affaires, avec une expérience comptable et de la banque. Il s'est engagé, sans se renseigner sur la manière dont le prix avait été déterminé et sans avoir reçu de document. C'est en vain qu'il fait valoir que le responsable du " call center " lui avait promis un chiffre d'affaires mensuel de 50'000 francs. En effet, il était parfaitement illusoire de fonder l'achat du centre sur ces seuls espoirs de chiffre d'affaires, alors que le " call center " démarrait (c'était son premier mois d'activité). Le recourant et son associée ont agi de manière légère, sans observer les règles élémentaires de prudence, alors qu'ils étaient des professionnels du monde des affaires. L'astuce doit dès lors être niée. C'est à juste titre que la cour cantonale a renoncé à condamner l'intimé pour escroquerie. Le grief soulevé doit être rejeté.</w:t>
      </w:r>
    </w:p>
    <w:p>
      <w:r>
        <w:rPr>
          <w:b/>
        </w:rPr>
        <w:t>E. 3.3</w:t>
      </w:r>
    </w:p>
    <w:p>
      <w:r>
        <w:t>Dénonçant un déni de justice, le recourant reproche à la cour cantonale de ne pas avoir examiné la question de faux renseignements sur des entreprises commerciales ( art. 152 CP ) et de faux dans les titres ( art. 251 CP ).</w:t>
      </w:r>
    </w:p>
    <w:p>
      <w:r>
        <w:t>Selon la jurisprudence, l'autorité qui ne traite pas un grief relevant de sa compétence, motivé de façon suffisante et pertinente pour l'issue du litige commet un déni de justice formel proscrit par l' art. 29 al. 1 Cst. ( ATF 138 I 97 consid. 3.2; 135 I 6 consid. 2.1 p. 9; 134 I 229 consid. 2.3 p. 232; 117 Ia 116 consid. 3a p. 117).</w:t>
      </w:r>
    </w:p>
    <w:p>
      <w:r>
        <w:t>Dans sa déclaration d'appel, le recourant a conclu à la condamnation de l'intimé à une peine fixée à dire de justice pour escroquerie et faux dans les titres et au paiement à lui-même d'une indemnité non chiffrée. Il n'apparaît pas qu'il aurait mis en cause la libération de l'intimé du chef d'accusation de faux renseignements sur les entreprises commerciales. Le jugement attaqué ne mentionne aucune contestation à l'égard de l'infraction précitée. Le recourant n'établit pas que cela aurait été le cas. On ne perçoit ainsi aucun déni de justice. Pour ce qui a trait au prétendu faux dans les titres, indépendamment des conclusions prises dans le cadre de l'appel, la cour d'appel a évoqué l'absence de remise de document (cf. jugement attaqué, p. 13). On ne saurait ainsi retenir une analyse déficiente quant à un faux dans les titres. A défaut d'explication supplémentaire du recourant, son grief, insuffisamment motivé, est irrecevable.</w:t>
      </w:r>
    </w:p>
    <w:p>
      <w:r>
        <w:rPr>
          <w:b/>
        </w:rPr>
        <w:t>E. 4</w:t>
      </w:r>
    </w:p>
    <w:p>
      <w:r>
        <w:t>Le recourant fait grief à la cour cantonale d'avoir libéré l'intimé de toute infraction s'agissant de la vente de " l'exclusivité de la création des sociétés anglaises avec succursale en Suisse ".</w:t>
      </w:r>
    </w:p>
    <w:p>
      <w:r>
        <w:t>Là aussi, le recourant a fait preuve d'une grande légèreté. Il était en effet tout à fait irréaliste de pouvoir acheter " un droit exclusif de faire des Ltd en Suisse ", alors que cette activité n'était soumise à aucun monopole de droit ou de fait. Il suffisait au recourant et à son associée de se renseigner auprès de n'importe quel avocat. Toute astuce doit ainsi être niée. La cour cantonale a renoncé à condamner l'intimé pour escroquerie à juste titre. Le grief soulevé doit être rejeté.</w:t>
      </w:r>
    </w:p>
    <w:p>
      <w:r>
        <w:rPr>
          <w:b/>
        </w:rPr>
        <w:t>E. 5</w:t>
      </w:r>
    </w:p>
    <w:p>
      <w:r>
        <w:t>Le recourant se plaint que ses conclusions civiles, qui s'élèvent à 589'985 fr., aient été rejetées.</w:t>
      </w:r>
    </w:p>
    <w:p>
      <w:r>
        <w:t>La cour cantonale a considéré que les conclusions du recourant étaient d'une recevabilité plus que discutable, dès lors que le montant du dommage allégué - qui avait varié de manière sensible en cours de procédure - ne faisait l'objet d'aucun développement. Dans son mémoire de recours au Tribunal fédéral, le recourant ne critique pas la motivation cantonale; il se borne à réclamer l'allocation d'un montant de 589'985 fr., sans expliquer comment il arrive à ce montant. Insuffisamment motivé ( art. 42 al. 2 LTF ), le grief soulevé est irrecevable.</w:t>
      </w:r>
    </w:p>
    <w:p>
      <w:r>
        <w:rPr>
          <w:b/>
        </w:rPr>
        <w:t>E. 6</w:t>
      </w:r>
    </w:p>
    <w:p>
      <w:r>
        <w:t>Le recours doit être rejeté dans la mesure où il est recevable.</w:t>
      </w:r>
    </w:p>
    <w:p>
      <w:r>
        <w:t>Le recourant qui succombe devra supporter les frais judiciaires ( art. 66 al. 1 LTF ).</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