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1399/2019 vom 5. März 2020</w:t>
      </w:r>
    </w:p>
    <w:p>
      <w:r>
        <w:t>Bundesgericht, 2020-03-05, FR</w:t>
      </w:r>
    </w:p>
    <w:p>
      <w:r>
        <w:rPr>
          <w:b/>
        </w:rPr>
        <w:t xml:space="preserve">Quelle: </w:t>
      </w:r>
      <w:r>
        <w:t>https://mcp.opencaselaw.ch/entscheid/bger_6B_1399_2019</w:t>
      </w:r>
    </w:p>
    <w:p>
      <w:r>
        <w:t>FR: TF 6B 1399/2019 du 5 mars 2020</w:t>
      </w:r>
    </w:p>
    <w:p>
      <w:r>
        <w:t>IT: TF 6B 1399/2019 del 5 marzo 2020</w:t>
      </w:r>
    </w:p>
    <w:p>
      <w:pPr>
        <w:pStyle w:val="Heading2"/>
      </w:pPr>
      <w:r>
        <w:t>Regeste</w:t>
      </w:r>
    </w:p>
    <w:p>
      <w:r>
        <w:t>Indemnisation du prévenu à la suite d'une ordonnance de classement | Procédure pénale</w:t>
      </w:r>
    </w:p>
    <w:p>
      <w:pPr>
        <w:pStyle w:val="Heading2"/>
      </w:pPr>
      <w:r>
        <w:t>Erwägungen</w:t>
      </w:r>
    </w:p>
    <w:p>
      <w:r>
        <w:rPr>
          <w:b/>
        </w:rPr>
        <w:t>E. 1</w:t>
      </w:r>
    </w:p>
    <w:p>
      <w:r>
        <w:t>Le recourant dénonce une violation des art. 426 et 429 CPP .</w:t>
      </w:r>
    </w:p>
    <w:p>
      <w:r>
        <w:rPr>
          <w:b/>
        </w:rPr>
        <w:t>E. 1.1</w:t>
      </w:r>
    </w:p>
    <w:p>
      <w:r>
        <w:t>Conformément à l' art. 426 al. 2 CPP , lorsque la procédure fait l'objet d'une ordonnance de classement ou que le prévenu est acquitté, tout ou partie des frais de la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 ATF 144 IV 202 consid. 2.2 p. 204 s.; 119 Ia 332 consid. 1b p. 334; 116 Ia 162 consid. 2c p. 168).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 ATF 144 IV 202 consid. 22 p. 205; 119 la 332 consid. 1b p. 334).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p. 205; 116 Ia 162 consid. 2c p. 171).</w:t>
      </w:r>
    </w:p>
    <w:p>
      <w:r>
        <w:rPr>
          <w:b/>
        </w:rPr>
        <w:t>E. 1.2</w:t>
      </w:r>
    </w:p>
    <w:p>
      <w:r>
        <w:t>Selon l' art. 429 al. 1 CPP , le prévenu qui est au bénéfice d'une ordonnance de classement ou qui est acquitté totalement ou en partie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L'autorité pénale peut réduire ou refuser l'indemnité lorsque le prévenu a provoqué illicitement et fautivement l'ouverture de la procédure pénale ou a rendu plus difficile la conduite de celle-ci ( art. 430 al. 1 let. a CPP ). La question de l'indemnisation du prévenu ( art. 429 CPP ) pour la procédure de première instance doit être traitée en relation avec celle des frais ( art. 426 CPP ). Si le prévenu supporte les frais en application de l' art. 426 al. 1 ou 2 CPP , une indemnité est en règle générale exclue ( ATF 145 IV 94 consid. 2.3.2 p. 98; 137 IV 352 consid. 2.4.2 p. 357). La question de l'indemnisation doit être tranchée après la question des frais. Dans cette mesure, la décision sur les frais préjuge de la question de l'indemnisation (cf. ATF 145 IV 268 consid. 1.2 p. 272; 144 IV 207 consid. 1.8.2 p. 211; 137 IV 352 consid. 2.4.2 p. 357).</w:t>
      </w:r>
    </w:p>
    <w:p>
      <w:r>
        <w:rPr>
          <w:b/>
        </w:rPr>
        <w:t>E. 1.3</w:t>
      </w:r>
    </w:p>
    <w:p>
      <w:r>
        <w:t>La cour cantonale a considéré que le recourant avait cultivé des stupéfiants ayant des effets de type cannabique en violation de l' art. 8 al. 1 let . d LStup. Elle a expliqué que cette disposition constituait une norme de comportement suffisante sous l'angle des art. 426 al. 2 et 430 al. 1 let. a CPP et que le comportement du recourant était propre à faire naître, selon le cours ordinaire des choses et l'expérience de la vie, le soupçon d'une infraction grave à la LStup, ce qui justifiait les mesures d'instruction et de contrainte prises à son égard dans la présente procédure. Elle a estimé que, conformément à l' art. 426 al. 2 CPP , l'entier des frais de procédure auraient dû être mis à la charge du recourant, mais que, eu égard à l'interdiction de la reformatio in pejus , elle ne pouvait pas modifier l'ordonnance de classement sur ce point. Dans la mesure où la question de l'indemnisation du prévenu ( art. 429 CPP ) devait être traitée en relation avec celle des frais, elle a jugé que le recourant n'aurait pas dû se voir allouer une indemnité. En vertu de l'interdiction de la reformatio in pejus , elle n'est cependant pas revenue sur l'indemnité de 1'615 fr. 50, allouée au recourant pour ses frais d'avocat. Elle a pour le surplus rejeté les autres prétentions du recourant fondées sur l'art. 429 al. 1 let. b et c CPP.</w:t>
      </w:r>
    </w:p>
    <w:p>
      <w:r>
        <w:rPr>
          <w:b/>
        </w:rPr>
        <w:t>E. 1.4.1</w:t>
      </w:r>
    </w:p>
    <w:p>
      <w:r>
        <w:t>L' art. 8 al. 1 let . d LStup interdit la culture, l'importation, la fabrication ou la mise dans le commerce des stupéfiants ayant des effets de type cannabique. Se fondant sur l' art. 2a LStup , le Département fédéral de l'intérieur a établi, le 30 mai 2011, l'OTStup-DFI (RS 812.121.11). Entrée en vigueur le 1er juillet 2011, cette ordonnance qualifie de stupéfiants le cannabis, à savoir la plante de chanvre ou parties de plante de chanvre présentant une teneur totale moyenne en THC de 1,0 % au moins et tous les objets et préparations présentant une teneur totale en THC de 1,0 % au moins ou fabriqués à partir de chanvre présentant une teneur totale en THC de 1,0 % au moins ( art. 1 al. 2 let. a OTStup-DFI et le tableau a-d de son annexe 1). La seule indication d'un taux plancher en THC de 1,0 % au moins ne saurait imposer de procéder à l'analyse du THC des produits litigieux, sous peine que ceux-ci ne puissent être qualifiés de stupéfiants. Même en l'absence de calcul scientifique du taux, l'élément objectif de l'infraction peut être considéré comme réalisé sur la base d'un ensemble d'éléments ou d'indices convergents propres à l'établir de manière suffisante ( ATF 141 IV 273 consid. 3.1.2 p. 276 s.). Contrairement à ce que semble croire la cour cantonale, l' art. 8 al. 1 let . d LStup n'est pas une norme de comportement qui aurait une portée indépendante des normes pénales définies aux art. 19 ss LStup (arrêts 1B_497/2011 et 1B_499/2011 du 30 novembre 2011 consid. 2.6 et les références citées; cf. ATF 126 IV 60 consid. 2a p. 62 s.). Le comportement interdit par l' art. 8 al. 1 LStup est sanctionné par l' art. 19 al. 1 LStup qui réprime la culture, l'importation, la fabrication et la mise dans le commerce de stupéfiants au sens des art. 2 et 8 al. 1 LStup .</w:t>
      </w:r>
    </w:p>
    <w:p>
      <w:r>
        <w:rPr>
          <w:b/>
        </w:rPr>
        <w:t>E. 1.4.2</w:t>
      </w:r>
    </w:p>
    <w:p>
      <w:r>
        <w:t>Par acte d'accusation du 10 avril 2019, le ministère public a renvoyé le recourant en jugement pour délit et contravention à la LStup (art. 19 al. 1 let. a et c; art. 19a ch. 1 LStup ) pour s'être adonné à la culture indoor de cannabis, destinée à sa consommation personnelle et parfois à la remise à des tiers à titre gratuit ou en échange de matériel de culture notamment. L'infraction définie à l' art. 19 al. 1 let. a LStup (culture et production de stupéfiants) fait donc l'objet d'une procédure séparée, qui n'est pas encore terminée selon l'arrêt attaqué. Tant qu'un jugement au fond n'est pas entré en force, le recourant est présumé innocent ( art. 10 al. 1 CPP ). La cour cantonale ne peut pas, dans une autre procédure, préjuger de la culpabilité du recourant. En déclarant que le recourant a cultivé des plantes de type cannabique en violation de l' art. 8 LStup avant tout jugement au fond, elle a violé la présomption d'innocence du recourant.</w:t>
      </w:r>
    </w:p>
    <w:p>
      <w:r>
        <w:rPr>
          <w:b/>
        </w:rPr>
        <w:t>E. 1.4.3</w:t>
      </w:r>
    </w:p>
    <w:p>
      <w:r>
        <w:t>En conséquence, les art. 426 al. 2 et 430 CPP ne sont pas applicables en l'espèce. C'est donc à tort que la cour cantonale a refusé d'allouer au recourant toute indemnité en application de l' art. 429 CPP et n'a pas examiné les griefs du recourants relatifs à l' art. 429 CPP . Le recours doit être admis, l'arrêt attaqué doit être annulé et la cause renvoyée à la cour cantonale pour nouveau jugement dans le sens des considérants.</w:t>
      </w:r>
    </w:p>
    <w:p>
      <w:r>
        <w:rPr>
          <w:b/>
        </w:rPr>
        <w:t>E. 2</w:t>
      </w:r>
    </w:p>
    <w:p>
      <w:r>
        <w:t>Le recourant qui obtient gain de cause ne supporte pas les frais judiciaires et peut prétendre à une indemnité de dépens à la charge du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