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1398/2021 vom 15. November 2022</w:t>
      </w:r>
    </w:p>
    <w:p>
      <w:r>
        <w:t>Bundesgericht, 2022-11-15, DE</w:t>
      </w:r>
    </w:p>
    <w:p>
      <w:r>
        <w:rPr>
          <w:b/>
        </w:rPr>
        <w:t xml:space="preserve">Quelle: </w:t>
      </w:r>
      <w:r>
        <w:t>https://mcp.opencaselaw.ch/entscheid/bger_6B_1398_2021</w:t>
      </w:r>
    </w:p>
    <w:p>
      <w:r>
        <w:t>FR: TF 6B 1398/2021 du 15 novembre 2022</w:t>
      </w:r>
    </w:p>
    <w:p>
      <w:r>
        <w:t>IT: TF 6B 1398/2021 del 15 novembre 2022</w:t>
      </w:r>
    </w:p>
    <w:p>
      <w:pPr>
        <w:pStyle w:val="Heading2"/>
      </w:pPr>
      <w:r>
        <w:t>Regeste</w:t>
      </w:r>
    </w:p>
    <w:p>
      <w:r>
        <w:t>Nichtanhandnahme (Nötigung, Drohung, üble Nachrede, usw.); Nichteintreten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gemäss Art. 41 ff. OR ( BGE 146 IV 76 E. 3.1; 141 IV 1 E. 1.1; Urteil 6B_532/2020 vom 23. Mai 2022 E. 1.1 mit Hinweisen).</w:t>
      </w:r>
    </w:p>
    <w:p>
      <w:r>
        <w:rPr>
          <w:b/>
        </w:rPr>
        <w:t>E. 1.2</w:t>
      </w:r>
    </w:p>
    <w:p>
      <w:r>
        <w:t>Richtet sich die Beschwerde gegen die Einstellung oder Nichtanhandnahme eines Verfahrens, hat die Privatklägerschaft nicht notwendigerweise bereits vor den kantonalen Behörden eine Zivilforderung geltend gemacht. Im Verfahren vor Bundesgericht muss sie in diesem Fall darlegen, aus welchen Gründen und inwiefern sich der angefochtene Entscheid auf welche Zivilforderungen auswirken kann. Das Bundesgericht stellt an die Begründung der Legitimation strenge Anforderungen. Es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6B_1244/2021 vom 12. April 2022 E. 1.1.1; 6B_160/2021 vom 11. Januar 2022 E. 1.1; 6B_252/2020 vom 8. September 2020 E. 2.1; je mit Hinweisen). Genügt die Beschwerde diesen Begründungsanforderungen nicht, kann auf sie nur eingetreten werden, wenn aufgrund der Natur der untersuchten Straftat ohne Weiteres ersichtlich ist, welche Zivilforderungen in Frage stehen ( BGE 141 IV 1 E. 1.1; Urteile 6B_1244/2021 vom 12. April 2022 E. 1.1.1; 6B_160/2021 vom 11. Januar 2022 E. 1.1; je mit Hinweisen).</w:t>
      </w:r>
    </w:p>
    <w:p>
      <w:r>
        <w:rPr>
          <w:b/>
        </w:rPr>
        <w:t>E. 1.3</w:t>
      </w:r>
    </w:p>
    <w:p>
      <w:r>
        <w:t>Der Beschwerdeführer führt in seiner Beschwerde unter dem Titel "I. Formelles, 3. Legitimation" einzig aus, er habe am vorinstanzlichen Verfahren teilgenommen und sei mit seinen Anträgen nicht durchgedrungen. Zur Frage, aus welchen Gründen und inwiefern sich der angefochtene Entscheid auf welche Zivilforderungen auswirken kann, äussert er sich hingegen mit keinem Wort, womit die Beschwerde den Begründungsanforderungen nach Art. 42 Abs. 2 BGG grundsätzlich nicht genügt. Aufgrund der Natur der vorgeworfenen Delikte (Drohung, Nötigung) kann zwar geschlossen werden, dass sich der Beschwerdeführer sinngemäss auf den Persönlichkeitsschutz nach Art. 28 ZGB berufen könnte. Der Beschwerdeführer legt jedoch nicht ansatzweise dar, inwiefern die entsprechenden zivilrechtlichen Voraussetzungen erfüllt sein sollen und welche allfälligen Ansprüche er geltend machen will. Auf die Beschwerde kann daher nicht eingetreten werden, zumal der Beschwerdeführer auch keine formellen Rügen vorträgt, mit denen er unter der "Star-Praxis" ( BGE 146 IV 76 E. 2; 141 IV 1 E. 1.1; 138 IV 248 E. 2; je mit Hinweisen) zu hören wäre.</w:t>
      </w:r>
    </w:p>
    <w:p>
      <w:r>
        <w:rPr>
          <w:b/>
        </w:rPr>
        <w:t>E. 2</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