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6B_1392/2017 vom 22. Mai 2018</w:t>
      </w:r>
    </w:p>
    <w:p>
      <w:r>
        <w:t>Bundesgericht, 2018-05-22, DE</w:t>
      </w:r>
    </w:p>
    <w:p>
      <w:r>
        <w:rPr>
          <w:b/>
        </w:rPr>
        <w:t xml:space="preserve">Quelle: </w:t>
      </w:r>
      <w:r>
        <w:t>https://mcp.opencaselaw.ch/entscheid/bger_6B_1392_2017</w:t>
      </w:r>
    </w:p>
    <w:p>
      <w:r>
        <w:t>FR: TF 6B_1392/2017 du 22 mai 2018</w:t>
      </w:r>
    </w:p>
    <w:p>
      <w:r>
        <w:t>IT: TF 6B_1392/2017 del 22 maggio 2018</w:t>
      </w:r>
    </w:p>
    <w:p>
      <w:pPr>
        <w:pStyle w:val="Heading2"/>
      </w:pPr>
      <w:r>
        <w:t>Erwägungen</w:t>
      </w:r>
    </w:p>
    <w:p>
      <w:r>
        <w:rPr>
          <w:b/>
        </w:rPr>
        <w:t>E. 1</w:t>
      </w:r>
    </w:p>
    <w:p>
      <w:r>
        <w:t>Die Streitsache erweist sich als spruchreif, womit die beantragte Durchführung eines zweiten Schriftenwechsels gegenstandslos wird (vgl. Art. 102 Abs. 1 und 3 BGG ).</w:t>
      </w:r>
    </w:p>
    <w:p>
      <w:r>
        <w:rPr>
          <w:b/>
        </w:rPr>
        <w:t>E. 2</w:t>
      </w:r>
    </w:p>
    <w:p>
      <w:r>
        <w:t>Der Beschwerdeführer rügt zusammengefasst, das Privatgutachten von PD Dr. B.________ belege, dass der Bericht der Beschwerdegegnerin 2 inhaltlich falsch sei, weshalb sie sich wegen Falschbeurkundung im Amt strafbar gemacht habe. Die Staatsanwaltschaft sei aufgrund des Legalitätsprinzips verpflichtet, einem Offizialdelikt oder dem durch das Privatgutachten begründeten Tatverdacht nachzugehen. Zudem sei der Vorwurf der schweren Körperverletzung nicht abgeklärt worden. Den Beschwerdegegnerinnen 2 und 3 sei die besondere Verletzlichkeit des Beschwerdeführers aufgrund der von ihm geschilderten Folter im Iran bewusst gewesen. Trotzdem habe man ihn mit den Aufnahmen seiner rechtswidrigen Verfolgung durch die Beschwerdegegnerin 3 konfrontiert, was zusammen mit der Strafanzeige und der Rentenaufhebung zu einer erneuten Traumatisierung geführt habe. Das empathielose Vorgehen sei als unmenschliche Behandlung im Sinne von Art. 3 EMRK zu qualifizieren.</w:t>
      </w:r>
    </w:p>
    <w:p>
      <w:r>
        <w:rPr>
          <w:b/>
        </w:rPr>
        <w:t>E. 3.1</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BGE 141 IV 1 E. 1.1 S. 4 f.; Urteil 6B_500/2017 vom 20. September 2017 E. 1; je mit Hinweisen).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3.2</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mit Hinweisen).</w:t>
      </w:r>
    </w:p>
    <w:p>
      <w:r>
        <w:rPr>
          <w:b/>
        </w:rPr>
        <w:t>E. 3.3</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wer in vertretbarer Weise geltend macht, von staatlichen Stellen misshandelt worden zu sein.</w:t>
      </w:r>
    </w:p>
    <w:p>
      <w:r>
        <w:rPr>
          <w:b/>
        </w:rPr>
        <w:t>E. 4.1</w:t>
      </w:r>
    </w:p>
    <w:p>
      <w:r>
        <w:t>Zivilrechtliche Ansprüche gegen die Beschwerdegegnerinnen 2 und 3 scheiden von vornherein aus. Allfällige staatshaftungsrechtliche Schadensersatzansprüche gegen die Mitarbeiter der IV-Stelle Kanton Bern wären öffentlich-rechtlicher Natur (vgl. Art. 66 IVG i.V.m. Art. 78 ATSG , Art. 52, 70 und 71a AHVG ) und könnten demnach in einem Strafverfahren nicht adhäsionsweise geltend gemacht werden. Im Hinblick auf die von ihm geltend gemachte Urkundenfälschung im Amt ist der Beschwerdeführer demnach nicht zur Beschwerde in Strafsachen legitimiert. Zudem ist Gegenstand des vom Beschwerdeführer initiierten Strafverfahrens nicht die Beurteilung seines Gesundheitszustandes und allfälliger IV-Ansprüche.</w:t>
      </w:r>
    </w:p>
    <w:p>
      <w:r>
        <w:rPr>
          <w:b/>
        </w:rPr>
        <w:t>E. 4.2.1</w:t>
      </w:r>
    </w:p>
    <w:p>
      <w:r>
        <w:t>Soweit der Beschwerdeführer seine Beschwerdelegitimation aus dem Anspruch auf eine vertiefte Strafuntersuchung wegen erlittener Folter und anderer grausamer, unmenschlicher oder erniedrigende Behandlungen ableitet, erweist sich die Beschwerde als offensichtlich unbegründet. Inwieweit die Beschwerdegegnerin 1 respektive die Staatsanwaltschaft Region Bern-Mittelland ihrer Ermittlungspflicht nicht nachgekommen sein soll, ist nicht ersichtlich. Entgegen der Ansicht des Beschwerdeführers ist nicht zu beanstanden, dass die Staatsanwaltschaft das Verfahren ohne "eigene Ermittlungen" abgeschlossen hat. Welche weiteren Untersuchungshandlungen hätten vorgenommen werden sollen, legt der Beschwerdeführer nicht dar und ist auch nicht ersichtlich, denn der strafrechtlich zu beurteilende Sachverhalt ist unstrittig. Dass die Staatsanwaltschaft und die Vorinstanz zutreffend zu einer anderen rechtlichen Beurteilung in Bezug auf die im Rahmen der Rentenrevision erfolgte Observation und Konfrontation mit deren Ergebnissen gelangen als der Beschwerdeführer, hat nichts mit dem Umfang der im Strafverfahren vorgenommenen Untersuchungshandlungen zu tun. Art. 3 EMRK gewährleistet den Anspruch auf eine gründliche, wirksame und unvoreingenomme Ermittlung, jedoch kein Recht auf Verurteilung einer beschuldigten Person. Die Ermittlungspflicht wird nicht allein dadurch verletzt, dass das Strafverfahren eingestellt oder die beschuldigte Person freigesprochen wird (vgl. MEYER-LADEWIG/LEHNERT, in: Meyer-Ladewig/Nettesheim/von Raumer [Hrsg.], EMRK, Handkommentar, 4. Aufl. 2017, N. 15 zu Art. 3 EMRK ).</w:t>
      </w:r>
    </w:p>
    <w:p>
      <w:r>
        <w:rPr>
          <w:b/>
        </w:rPr>
        <w:t>E. 4.2.2</w:t>
      </w:r>
    </w:p>
    <w:p>
      <w:r>
        <w:t>Zudem ist nicht ansatzweise ersichtlich, inwieweit die Revision des Rentenanspruchs oder das Revisionsverfahren eine gegen Art. 3 EMRK verstossende Behandlung darstellen könnte.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des Geschädigten. Zu berücksichtigen sind der Zweck der Behandlung sowie die Absicht und der Beweggrund, die ihr zugrunde liegen, ebenso der Zusammenhang, in dem sie steht. Als unmenschliche oder erniedrigende Behandlung gilt nur eine Misshandlung, die ein bestimmtes Mass an Schwere erreicht und körperliche Verletzungen oder intensive physische oder psychische Leiden mit sich bringt ( BGE 134 I 221 E. 3.2.1 mit Hinweisen).</w:t>
      </w:r>
    </w:p>
    <w:p>
      <w:r>
        <w:t>Ungesehen der vom Beschwerdeführer geschilderten staatlichen Übergriffe im Iran und einer daraus resultierenden Traumatisierung muss es dem Staat möglich sein, den Gesundheitszustand des Beschwerdeführers im Hinblick auf allfällige IV-Leistungen zu evaluieren. Dass die Beschwerdegegnerinnen 2 und 3 den Beschwerdeführer im Rahmen der Rentenrevision unmenschlich oder erniedrigend behandelt hätten, ist nicht ersichtlich. Selbst wenn die Überwachung als rechtswidrig erachtet und eine Verletzung der Persönlichkeitsrechte des Beschwerdeführers darstellen würde - was vorliegend nicht abschliessend beurteilt werden muss - kann nicht von Folter oder einer Misshandlung im Sinne von Art. 3 EMRK gesprochen werden. Einschränkungen im Wohlbefinden, die wie vorliegend durch den legitimen Zweck einer staatlichen Massnahme zwangsläufig bedingt werden, fallen nicht unter die genannte Bestimmung (vgl. Urteil 6B_469/2017 vom 20. Februar 2018 E. 1.2 mit Hinweisen). Der Beschwerdeführer hat seine Observation überhaupt nicht mitbekommen und die Konfrontation mit deren Ergebnissen war schon zur Wahrung seines rechtlichen Gehörs unumgänglich. Die Staatsanwaltschaft durfte einen hinreichenden Tatverdacht sowohl hinsichtlich einer Falschbeurkundung im Amt als auch hinsichtlich einer (fahrlässigen) schweren Körperverletzung verneinen und das Strafverfahren einstellen.</w:t>
      </w:r>
    </w:p>
    <w:p>
      <w:r>
        <w:rPr>
          <w:b/>
        </w:rPr>
        <w:t>E. 5</w:t>
      </w:r>
    </w:p>
    <w:p>
      <w:r>
        <w:t>Die Beschwerde ist abzuweisen, soweit darauf eingetreten werden kann. Das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