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1391/2021 vom 25. April 2022</w:t>
      </w:r>
    </w:p>
    <w:p>
      <w:r>
        <w:t>Bundesgericht, 2022-04-25, FR</w:t>
      </w:r>
    </w:p>
    <w:p>
      <w:r>
        <w:rPr>
          <w:b/>
        </w:rPr>
        <w:t xml:space="preserve">Quelle: </w:t>
      </w:r>
      <w:r>
        <w:t>https://mcp.opencaselaw.ch/entscheid/bger_6B_1391_2021</w:t>
      </w:r>
    </w:p>
    <w:p>
      <w:r>
        <w:t>FR: TF 6B 1391/2021 du 25 avril 2022</w:t>
      </w:r>
    </w:p>
    <w:p>
      <w:r>
        <w:t>IT: TF 6B 1391/2021 del 25 aprile 2022</w:t>
      </w:r>
    </w:p>
    <w:p>
      <w:pPr>
        <w:pStyle w:val="Heading2"/>
      </w:pPr>
      <w:r>
        <w:t>Regeste</w:t>
      </w:r>
    </w:p>
    <w:p>
      <w:r>
        <w:t>Opposition tardive à une ordonnance pénale, fiction de notification | Procédure pénale</w:t>
      </w:r>
    </w:p>
    <w:p>
      <w:pPr>
        <w:pStyle w:val="Heading2"/>
      </w:pPr>
      <w:r>
        <w:t>Erwägungen</w:t>
      </w:r>
    </w:p>
    <w:p>
      <w:r>
        <w:rPr>
          <w:b/>
        </w:rPr>
        <w:t>E. 1</w:t>
      </w:r>
    </w:p>
    <w:p>
      <w:r>
        <w:t>Le recourant reproche à la cour cantonale d'avoir déclaré son opposition irrecevable, en violation de l'art. 85 al. 4 let. a en relation avec l' art. 309 CPP . Il invoque également une violation du principe de la bonne foi.</w:t>
      </w:r>
    </w:p>
    <w:p>
      <w:r>
        <w:rPr>
          <w:b/>
        </w:rPr>
        <w:t>E. 1.1</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 Il est admis que la personne concernée doit s'attendre à la remise d'un prononcé lorsqu'elle est au courant qu'elle fait l'objet d'une instruction pénale au sens de l' art. 309 CPP ( ATF 146 IV 30 consid. 1.1.2; arrêts 6B_96/2021 du 6 septembre 2021 consid. 1.1.2; 6B_288/2020 du 16 octobre 2020 consid. 1.1.3; 6B_723/2020 du 2 septembre 2020 consid. 1.1.1; 6B_934/2018 du 9 novembre 2018 consid. 2.1; 6B_233/2017 du 12 décembre 2017 consid. 2.1 et les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(arrêts 6B_96/2021 précité consid. 1.1.2; 6B_288/2020 précité consid. 1.1.3; 6B_723/2020 précité consid. 1.1.1; 6B_934/2018 précité consid. 2.1; 6B_1032/2015 du 25 mai 2016 consid. 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p. 431 s.; 139 IV 228 consid. 1.1 p. 230 et les références citées). 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Le principe de la bonne foi est également concrétisé à l' art. 3 al. 2 let. a CPP et concerne, en procédure pénale, non seulement les autorités pénales mais, le cas échéant, les différentes parties, y compris le prévenu ( ATF 144 IV 189 consid. 5.1 p. 192; 143 IV 117 consid. 3.2 p. 121).</w:t>
      </w:r>
    </w:p>
    <w:p>
      <w:r>
        <w:rPr>
          <w:b/>
        </w:rPr>
        <w:t>E. 1.2</w:t>
      </w:r>
    </w:p>
    <w:p>
      <w:r>
        <w:t>La cour cantonale a considéré que l'ordonnance pénale avait été fictivement notifiée à l'échéance du délai de garde postal, au 18 mai 2021, de sorte que l'opposition formée le 5 août 2021, soit au-delà du délai de dix jours suivant la notification précitée ( art. 354 al. 1 CPP ), était tardive.</w:t>
      </w:r>
    </w:p>
    <w:p>
      <w:r>
        <w:rPr>
          <w:b/>
        </w:rPr>
        <w:t>E. 1.3</w:t>
      </w:r>
    </w:p>
    <w:p>
      <w:r>
        <w:t>Le recourant soutient qu'il n'a pas été entendu sur mandat du ministère public mais que la police a été mise au courant des faits par les garde-frontières, à la suite de quoi, elle a procédé à son interrogatoire, puis a transmis le dossier au ministère public. Ce dernier a rendu une ordonnance pénale sans ouvrir d'instruction. Ainsi, étant donné qu'aucune instruction pénale n'était ouverte lorsqu'il a été interrogé par la police, le devoir procédural d'avoir à s'attendre à recevoir une notification n'était pas " né ". De surcroît, le recourant allègue qu'il n'était nullement exposé, dans le document " Droits et obligations du (de la) prévenu (e) ", signé lors de son audition à la police, que le prévenu devait s'attendre à recevoir une décision de l'autorité et qu'il se devait parallèlement de prendre toutes les mesures pour retirer un pli relatif à celle-ci ou faire retirer celui-ci. Seule était évoquée la situation de domicile ou résidence habituelle à l'étranger. Ainsi, faute d'avoir prévu dans les obligations du prévenu le devoir précité, la cour cantonale ne pouvait pas, sous l'angle du principe de la bonne foi, appliquer la fiction de la notification.</w:t>
      </w:r>
    </w:p>
    <w:p>
      <w:r>
        <w:rPr>
          <w:b/>
        </w:rPr>
        <w:t>E. 1.4</w:t>
      </w:r>
    </w:p>
    <w:p>
      <w:r>
        <w:t>C'est en vain que le recourant prétend qu'il ne pouvait pas s'attendre à recevoir une ordonnance pénale, dans la mesure où il est établi et incontesté qu'il a été entendu par la police en qualité de " prévenu " des infractions en cause le 24 janvier 2021. A cette occasion, il a signé le formulaire intitulé " droits et obligations du prévenu ", lequel mentionnait notamment qu'il revêtait la qualité de prévenu. Le même jour, le recourant a également indiqué son adresse à la police et a déclaré y élire domicile (formulaire " situation personnelle et financière ", daté du 24 janvier 2021). Au vu de l'ensemble de ces éléments, le recourant devait se rendre compte qu'il était partie à une procédure pénale et devait donc s'attendre à recevoir un prononcé dans ce cadre-là. Dans ce contexte, il est indifférent que le ministère public ait, ou non, ouvert une instruction, étant relevé que celui-ci peut rendre immédiatement une ordonnance pénale sans ouvrir d'instruction (cf. art. 309 al. 4 CPP ). De même, peu importe que le formulaire " droits et obligations du prévenu " ne mentionne pas expressément que le recourant allait recevoir une décision d'une autorité puisqu'il lui incombait, en tant que partie à une procédure pénale, de s'attendre à recevoir dans ce cadre des communications de la part des autorités, y compris une ordonnance pénale. Se sachant partie à une procédure, il lui appartenait de relever son courrier, respectivement de prendre toutes les mesures pour que celui-ci lui parvienne. Faute d'avoir pris de telles mesures, le recourant a failli à son devoir procédural. Sur la base de ces éléments, la cour cantonale n'a pas violé l' art. 85 al. 4 let. a CPP ni le principe de la bonne foi en considérant que l'ordonnance pénale avait été notifiée à l'échéance du délai de garde postal.</w:t>
      </w:r>
    </w:p>
    <w:p>
      <w:r>
        <w:rPr>
          <w:b/>
        </w:rPr>
        <w:t>E. 2</w:t>
      </w:r>
    </w:p>
    <w:p>
      <w:r>
        <w:t>Invoquant une violation de l' art. 6 CEDH et de l'art. 14 al. 1 du Pacte international relatif aux droits civils et politiques (Pacte ONU II; RS 0.103.2), le recourant se plaint d'une violation de son droit à un procès équitable.</w:t>
      </w:r>
    </w:p>
    <w:p>
      <w:r>
        <w:rPr>
          <w:b/>
        </w:rPr>
        <w:t>E. 2.1</w:t>
      </w:r>
    </w:p>
    <w:p>
      <w:r>
        <w:t>En substance, on comprend de l'écriture du recourant que celui-ci ne fait que réitérer sa critique relative à l'application de l' art. 85 al. 4 let. a CPP instaurant une fiction de notification aux conditions exposées supra (consid. 1.1). En effet, il soutient que le ministère public ne saurait être considéré comme un tribunal impartial et indépendant, et en conclut que la cause n'aurait été entendue " de façon équitable " que si la " possibilité de faire opposition est assurée " de façon " effective et efficace ", ce qui n'avait pas été son cas. Or son argumentation ne satisfait pas aux exigences accrues de l' art. 106 al. 2 LTF . En tout état, il est relevé que, de jurisprudence constante, la validité d'une ordonnance pénale au regard des droits garantis par l' art. 6 CEDH est admise dans la mesure où, par une simple opposition qui n'a pas besoin d'être motivée ( art. 354 al. 2 CPP ), le prévenu condamné peut saisir un tribunal offrant les garanties de l' art. 6 CEDH (arrêt de la CourEDH Belilos c. Suisse du 29 avril 1988, par. 68; ATF 124 IV 234 consid. 3c p. 238 s.; arrêts 6B_723/2020 précité consid. 1.3.3; 6B_314/2012 du 18 février 2013 consid. 2.2.2). Pour le reste, dès lors que le défaut de notification effective de l'ordonnance pénale est imputable au recourant, il n'y a pas lieu d'examiner son grief relatif à une violation de garantie d'accès au juge et du droit à un procès équitable (cf. arrêt 6B_233/2017 précité consid. 4).</w:t>
      </w:r>
    </w:p>
    <w:p>
      <w:r>
        <w:rPr>
          <w:b/>
        </w:rPr>
        <w:t>E. 2.2</w:t>
      </w:r>
    </w:p>
    <w:p>
      <w:r>
        <w:t>En définitive, c'est sans violer le droit fédéral que la cour cantonale a considéré que l'ordonnance pénale était réputée notifiée au recourant à l'échéance du délai de 7 jours à compter de la tentative infructueuse de remise du pli, le 10 mai 2021, de sorte que l'opposition du 5 août 2021 était tardive, partant irrecevable.</w:t>
      </w:r>
    </w:p>
    <w:p>
      <w:r>
        <w:rPr>
          <w:b/>
        </w:rPr>
        <w:t>E. 3</w:t>
      </w:r>
    </w:p>
    <w:p>
      <w:r>
        <w:t>Sur le vu de ce qui précède, le recours doit être rejeté dans la mesure où il est recevable.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