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138/2023 vom 18. Oktober 2023</w:t>
      </w:r>
    </w:p>
    <w:p>
      <w:r>
        <w:t>Bundesgericht, 2023-10-18, FR</w:t>
      </w:r>
    </w:p>
    <w:p>
      <w:r>
        <w:rPr>
          <w:b/>
        </w:rPr>
        <w:t xml:space="preserve">Quelle: </w:t>
      </w:r>
      <w:r>
        <w:t>https://mcp.opencaselaw.ch/entscheid/bger_6B_138_2023</w:t>
      </w:r>
    </w:p>
    <w:p>
      <w:r>
        <w:t>FR: TF 6B 138/2023 du 18 octobre 2023</w:t>
      </w:r>
    </w:p>
    <w:p>
      <w:r>
        <w:t>IT: TF 6B 138/2023 del 18 ottobre 2023</w:t>
      </w:r>
    </w:p>
    <w:p>
      <w:pPr>
        <w:pStyle w:val="Heading2"/>
      </w:pPr>
      <w:r>
        <w:t>Regeste</w:t>
      </w:r>
    </w:p>
    <w:p>
      <w:r>
        <w:t>Contrainte, arbitraire (Extinction Rebellion) | Infractions</w:t>
      </w:r>
    </w:p>
    <w:p>
      <w:pPr>
        <w:pStyle w:val="Heading2"/>
      </w:pPr>
      <w:r>
        <w:t>Erwägungen</w:t>
      </w:r>
    </w:p>
    <w:p>
      <w:r>
        <w:rPr>
          <w:b/>
        </w:rPr>
        <w:t>E. 1</w:t>
      </w:r>
    </w:p>
    <w:p>
      <w:r>
        <w:t>Le Tribunal fédéral examine d'office ( art. 29 al. 1 LTF ) et librement la recevabilité des recours qui lui sont soumis ( ATF 144 II 184 consid. 1; 144 V 280 consid. 1).</w:t>
      </w:r>
    </w:p>
    <w:p>
      <w:r>
        <w:rPr>
          <w:b/>
        </w:rPr>
        <w:t>E. 1.1</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142 IV 196 consid. 1.5.2; arrêt 6B_619/2022 du 8 février 2023 consid. 1).</w:t>
      </w:r>
    </w:p>
    <w:p>
      <w:r>
        <w:rPr>
          <w:b/>
        </w:rPr>
        <w:t>E. 1.2</w:t>
      </w:r>
    </w:p>
    <w:p>
      <w:r>
        <w:t>Dans le canton de Fribourg, le ministère public est composé d'un office unique dont la compétence s'étend à l'ensemble du territoire cantonal (art. 66 al. 1 de la loi fribourgeoise sur la justice; LJ, RSF 130.1). Il ne connaît pas de morcellement territorial ou par matière. Le Ministère public de l'État de Fribourg, seul accusateur public, est par conséquent compétent pour recourir au Tribunal fédéral. Conformément à l'art. 6 al. 2 du règlement du 14 mars 2011 relatif à l'organisation et au fonctionnement du ministère public (ROF; RSF 132.11), chaque procureur peut interjeter les recours nécessaires auprès des instances cantonales et fédérales. Le procureur général est également compétent pour interjeter un recours en appel ou en matière pénale dans tous les dossiers traités par le ministère public (art. 2 al. 3 ROF). En l'espèce, le recours a été formé et signé par le Procureur général. Il est donc recevable sous cet angle.</w:t>
      </w:r>
    </w:p>
    <w:p>
      <w:r>
        <w:rPr>
          <w:b/>
        </w:rPr>
        <w:t>E. 2</w:t>
      </w:r>
    </w:p>
    <w:p>
      <w:r>
        <w:t>Le recourant reproche à la cour cantonale d'être tombée dans l'arbitraire en omettant de retenir que, en refusant de quitter les lieux après la tolérance de deux heures dont ils avaient bénéficié, les intimés ont obligé une partie des employés du centre commercial à travailler plus longtemps.</w:t>
      </w:r>
    </w:p>
    <w:p>
      <w:r>
        <w:rPr>
          <w:b/>
        </w:rPr>
        <w:t>E. 2.1</w:t>
      </w:r>
    </w:p>
    <w:p>
      <w:r>
        <w:t>Le Tribunal fédéral est un juge du droit. Il ne peut revoir les faits établis par l'autorité précédente que s'ils l'ont été de manière manifestement inexacte ( art. 97 al. 1 LTF ), c'est-à-dire arbitraire (sur cette notion, cf. ATF 146 IV 88 consid. 1.3.1; 145 IV 154 consid. 1.1), ou en violation du droit au sens de l' art. 95 LTF et pour autant que la correction du vice soit susceptible d'influer sur le sort de la cause ( art. 97 al. 1 LTF ). Encore faut-il, à peine d'irrecevabilité, que la réalisation de ces conditions soit démontrée dans le recours (cf. arrêts 6B_338/2008 du 7 janvier 2009 consid. 10.1.1 et 4A_28/2007 du 30 mai 2007 consid. 1.3).</w:t>
      </w:r>
    </w:p>
    <w:p>
      <w:r>
        <w:rPr>
          <w:b/>
        </w:rPr>
        <w:t>E. 2.2</w:t>
      </w:r>
    </w:p>
    <w:p>
      <w:r>
        <w:t>Le recourant n'explique pas en quoi la correction de ce vice pourrait influer sur l'issue du jugement. Il se borne à affirmer, dans son argumentation relative à la contrainte, que les intimés avaient eu "la conscience et la volonté de contraindre (...) une partie des employés du centre commercial qui a dû, soit se résoudre à ne pas travailler et subir une perte de leur chiffre d'affaire, soit rester plus longtemps sur son lieu de travail" (mémoire de recours p. 7). Cette seule affirmation ne saurait toutefois suffire à établir que les faits prétendument omis par la cour cantonale tomberaient sous l' art. 181 CP et, partant, devraient influer sur l'issue du litige. La cour cantonale ne semble pas au demeurant avoir méconnu que la manifestation avait duré au-delà de l'heure de fermeture du centre commercial et qu'en conséquence une partie des employés avait dû travailler plus longtemps. Comme l'a relevé le recourant lui-même, elle a retenu que les intimés s'étaient rendus coupables de contravention à la loi d'application du code pénal (art. 11 al. 1 let. b LACP) en refusant de suivre les injonctions des forces de l'ordre qui cherchaient à permettre au centre commercial de fermer ses portes (arrêt attaqué p. 12 consid. 2.8). Insuffisamment motivé, l'argumentation du recourant est irrecevable.</w:t>
      </w:r>
    </w:p>
    <w:p>
      <w:r>
        <w:rPr>
          <w:b/>
        </w:rPr>
        <w:t>E. 3</w:t>
      </w:r>
    </w:p>
    <w:p>
      <w:r>
        <w:t>Le recourant soutient que les intimés devraient être condamnés pour contrainte au sens de l' art. 181 CP .</w:t>
      </w:r>
    </w:p>
    <w:p>
      <w:r>
        <w:rPr>
          <w:b/>
        </w:rPr>
        <w:t>E. 3.1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 6B_598/2022 du 9 mars 2023 consid. 2.1.2).</w:t>
      </w:r>
    </w:p>
    <w:p>
      <w:r>
        <w:rPr>
          <w:b/>
        </w:rPr>
        <w:t>E. 3.2</w:t>
      </w:r>
    </w:p>
    <w:p>
      <w:r>
        <w:t>La cour cantonale a considéré que l'intensité nécessaire pour conclure à un acte de contrainte au sens du code pénal n'était pas donnée dans la mesure où l'action des manifestants a été structurée de telle manière que les autres entrées et sorties du centre commercial restaient accessibles moyennant un petit détour. Elle a ajouté que leurs actes n'avaient été accompagnés d'aucune violence et n'avaient causé aucun dommage, de sorte qu'ils pouvaient être considérés comme relevant d'une manifestation pacifique d'opinion qui pouvait profiter de la protection offerte par la Convention européenne des droits de l'homme (ci-après: CEDH). Le recourant soutient, au contraire, que les intimés devraient être punis pour contrainte pour avoir bloqué l'entrée principale du centre commercial, empêchant par-là les clients d'entrer ou de sortir. Il relève que la jurisprudence admet déjà que le fait de retenir quelqu'un contre son gré pendant quelques minutes ou de gêner d'autres automobilistes par des coups de frein intempestifs constituent une forme de contrainte. Selon le recourant, dès lors que la manifestation ne s'est pas déroulée sur le domaine public, les arrêts de la Cour européenne des droits de l'homme relatifs aux libertés d'expression et de réunion seraient sans pertinence.</w:t>
      </w:r>
    </w:p>
    <w:p>
      <w:r>
        <w:rPr>
          <w:b/>
        </w:rPr>
        <w:t>E. 3.3</w:t>
      </w:r>
    </w:p>
    <w:p>
      <w:r>
        <w:t>Dans la mesure où les actes des intimés se sont inscrits dans une démarche de protestation politique, il convient d'examiner si ceux-ci sont protégés par la liberté d'expression et de réunion.</w:t>
      </w:r>
    </w:p>
    <w:p>
      <w:r>
        <w:rPr>
          <w:b/>
        </w:rPr>
        <w:t>E. 3.3.1</w:t>
      </w:r>
    </w:p>
    <w:p>
      <w:r>
        <w:t>Les libertés d'opinion et d'information sont garanties par l' art. 16 al. 1 Cst. Toute personne a le droit de former, d'exprimer et de répandre librement son opinion ( art. 16 al. 2 Cst. ). Selon l'art. 10 § 1 CEDH , la liberté d'expression comprend la liberté d'opinion et la liberté de recevoir ou de communiquer des informations ou des idées sans qu'il puisse y avoir ingérence d'autorités publiques et sans considération de frontière. 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132 I 49 consid. 5.3; arrêt 6B_655/2022 du 31 août 2022 consid. 4.2). L'art. 11 § 1 CEDH (en relation avec l' art. 10 CEDH ), qui consacre notamment le droit de toute personne à la liberté de réunion et à la liberté d'association, offre des garanties comparables ( ATF 132 I 256 consid. 3; arrêt 6B_655/2022 précité consid. 4.2);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1ère phrase, CEDH).</w:t>
      </w:r>
    </w:p>
    <w:p>
      <w:r>
        <w:rPr>
          <w:b/>
        </w:rPr>
        <w:t>E. 3.3.2</w:t>
      </w:r>
    </w:p>
    <w:p>
      <w:r>
        <w:t>Le Tribunal fédéral a récemment rappelé, en référence à la jurisprudence de la CourEDH, qu'en l'absence d'actes de violence, les pouvoirs publics devaient faire preuve d'une certaine tolérance pour les rassemblements pacifiques non autorisés afin que la liberté de réunion garantie par l' art. 11 CEDH ne soit pas vidée de sa substance (arrêt 6B_246/2022 du 12 décembre 2022 consid. 3.2.4; arrêts de la CourEDH Kudrevicius et autres c. Lituanie du 15 octobre 2015 [GC], § 150; Navalnyy et Yashin c. Russie du 4 décembre 2014, § 63; Bukta et autres c. Hongrie du 17 juillet 2007, § 37; Oya Ataman c. Turquie du 5 décembre 2006, §§ 41-42).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6B_246/2022 précité consid 3.2.4; 6B_1098/2022 et 6B_1106/2022 du 31 juillet 2023 consid. 6.1.3; arrêts de la CourEDH Navalnyy c. Russie du 15 novembre 2018 [GC], § 128; Solari c. République de Moldova du 28 mars 2017, § 37; Kudrevicius et autres c. Lituanie du 15 octobre 2015 [GC], § 149). La tolérance qui est demandée aux pouvoirs publics à l'égard des rassemblements pacifiques "illégaux"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mineures de la vie quotidienne, notamment de la circulation routière (arrêts 6B_246/2022 précité consid. 3.2.4; 6B_1098/2022 et 6B_1106/2022 précités consid. 6.1.3; arrêts de la CourEDH Navalnyy c. Russie du 15 novembre 2018 [GC], § 128; Egitim ve Bilim Emekcileri Sendikasi et autres c. Turquie du 5 juillet 2016, § 95; Kudrevicius et autres c. Lituanie du 15 octobre 2015 [GC], § 155). 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6B_246/2022 précité consid. 3.2.4; 6B_1098/2022 et 6B_1106/2022 précités consid. 6.1.4; arrêts de la CourEDH Frumkin c. Russie du 5 janvier 2016, § 97; Kudrevicius et autres c. Lituanie du 15 octobre 2015 [GC], §§ 155-157 et 176-177). Selon la CourEDH, le refus des manifestants de se conformer aux règles en vigueur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pacifique d'opinions (arrêt de la CourEDH Kudrevicius et autres c. Lituanie du 15 octobre 2015 [GC] § 156). La CourEDH a admis que lorsque des manifestants perturbent intentionnellement la vie quotidienne et les activités licites d'autrui, ces perturbations, lorsque leur ampleur dépasse celle qu'implique l'exercice normal de la liberté de réunion pacifique, peuvent être considérés comme des "actes répréhensibles" et justifier l'imposition de sanctions, y compris pénales (arrêts 6B_1098/2022 et 6B_1106/2022 précités consid. 6.1.4; 6B_655/2022 du 31 août 2022 consid. 4.5; arrêt de la CourEDH Kudrevicius et autres c. Lituanie du 15 octobre 2015 [GC], §§ 173-174;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"répréhensible" et que les sanctions pénales prononcées dans le cas particulier étaient proportionnées (arrêts de la CourEDH Kudrevicius et autres c. Lituanie du 15 octobre 2015 [GC], §§ 173-174; voir aussi Barraco c. France, §§ 46-47).</w:t>
      </w:r>
    </w:p>
    <w:p>
      <w:r>
        <w:rPr>
          <w:b/>
        </w:rPr>
        <w:t>E. 3.4.1</w:t>
      </w:r>
    </w:p>
    <w:p>
      <w:r>
        <w:t>La manifestation à laquelle les intimés ont participé s'est déroulée de manière pacifique. Elle n'avait pas de but violent et ne s'est pas déroulée dans une atmosphère agressive. Certes, les intimés ont mis en place un barrage dans la galerie commerciale et devant l'entrée principale, à l'aide de caddies et se sont enchaînés les uns aux autres, de manière à empêcher des passants de pénétrer dans le centre commercial. Un tel comportement n'est toutefois pas d'une nature ou d'une gravité propres à faire échapper la participation des manifestants au domaine de protection du droit à la liberté de réunion pacifique (cf. arrêt Kudrevicius et autres c. Lituanie du 15 octobre 2015 [GC] § 97 et 98). C'est en vain que le recourant soutient, en référence à l'arrêt publié aux ATF 147 IV 297 , que les différents arrêts de la CourEDH relatifs à l'application des art. 10 et 11 CEDH seraient sans pertinence dans la mesure où la manifestation ne s'est pas déroulée sur le domaine public, mais dans un centre commercial. En effet, la CourEDH a déjà admis que les art. 10 ou 11 CEDH s'appliquaient à une manifestation qui avait eu lieu dans un hypermarché (arrêt de la CourEDH Baldassi et autres c. France du 11 juin 2020). Il s'agit d'un lieu de transit ou d'un lieu destiné à accueillir de très nombreuses personnes. Le cas jugé aux ATF 147 IV 297 , où les manifestants s'étaient réunis dans les locaux d'une succursale d'une grande banque sans le consentement de celle-ci, n'est pas comparable, l'accès étant conditionné à une relation de clientèle ou d'affaires avec la banque (cf. ATF 147 IV 297 consid. 3.2 p. 328).</w:t>
      </w:r>
    </w:p>
    <w:p>
      <w:r>
        <w:rPr>
          <w:b/>
        </w:rPr>
        <w:t>E. 3.4.2</w:t>
      </w:r>
    </w:p>
    <w:p>
      <w:r>
        <w:t>Il est reproché en l'espèce aux intimés d'avoir intentionnellement bloqué l'entrée principale du centre commercial. Cette obstruction n'était pas un effet indirect d'un rassemblement, mais la conséquence d'une action intentionnelle des intimés, qui souhaitaient attirer l'attention de l'opinion publique sur la journée commerciale dite "black friday". Leur action visait directement une activité qu'ils réprouvaient, à savoir la surproduction et la surconsommation, et représentait un lien direct avec l'objet de leur contestation. Selon l'arrêt cantonal, l'obstruction de l'accès principal a créé quelques inquiétudes auprès des clients du centre commercial qui ont été empêchés de sortir de l'immeuble à cet endroit. Le rapport de police a relevé à cet égard que pour éviter des mouvements de foule, il a été nécessaire de rediriger les clients vers les autres sorties et de séparer les manifestants des badauds à l'aide de rubalises afin d'éviter tout débordement de la part de clients mécontents. Les intimés ont toutefois structuré leur action de manière à laisser accessibles les autres portes du centre commercial, de sorte que les clients et passants ont pu entrer ou sortir moyennant un petit détour. La contrainte exercée par les intimés sur les passants n'est donc pas comparable au blocage complet de trois autoroutes qui avait causé des embouteillages et de longues files dans l'affaire Kudrevicius ou à l'opération escargot sur une autoroute qui avait duré cinq heures dans l'affaire Barraco, affaires dans lesquels la CourEDH avait considéré que le blocage de la circulation avait été au-delà des nuisances normales causées par une manifestation et justifiait en conséquence une condamnation pénale. Au vu des circonstances, notamment de la possibilité d'emprunter d'autres entrées/sorties, l'obstruction de l'entrée principale du centre commercial qui était en lien direct avec le but de la manifestation ne saurait en conséquence constituer une perturbation sérieuse de la vie quotidienne et constituer un "acte répréhensible". La cour cantonale pouvait ainsi admettre que l'action des intimés était protégée par la liberté d'expression et de réunion et les libérer du chef de prévention de l'infraction de contrainte.</w:t>
      </w:r>
    </w:p>
    <w:p>
      <w:r>
        <w:rPr>
          <w:b/>
        </w:rPr>
        <w:t>E. 4</w:t>
      </w:r>
    </w:p>
    <w:p>
      <w:r>
        <w:t>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