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6B_138/2021 vom 23. September 2021</w:t>
      </w:r>
    </w:p>
    <w:p>
      <w:r>
        <w:t>Bundesgericht, 2021-09-23, FR</w:t>
      </w:r>
    </w:p>
    <w:p>
      <w:r>
        <w:rPr>
          <w:b/>
        </w:rPr>
        <w:t xml:space="preserve">Quelle: </w:t>
      </w:r>
      <w:r>
        <w:t>https://mcp.opencaselaw.ch/entscheid/bger_6B_138_2021</w:t>
      </w:r>
    </w:p>
    <w:p>
      <w:r>
        <w:t>FR: TF 6B_138/2021 du 23 septembre 2021</w:t>
      </w:r>
    </w:p>
    <w:p>
      <w:r>
        <w:t>IT: TF 6B_138/2021 del 23 settembre 2021</w:t>
      </w:r>
    </w:p>
    <w:p>
      <w:pPr>
        <w:pStyle w:val="Heading2"/>
      </w:pPr>
      <w:r>
        <w:t>Erwägungen</w:t>
      </w:r>
    </w:p>
    <w:p>
      <w:r>
        <w:rPr>
          <w:b/>
        </w:rPr>
        <w:t>E. 1</w:t>
      </w:r>
    </w:p>
    <w:p>
      <w:r>
        <w:t>Le recourant intitule son écriture " recours en matière pénale et recours constitutionnel subsidiaire ". 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est par conséquent exclu (cf. art. 113 LTF ).</w:t>
      </w:r>
    </w:p>
    <w:p>
      <w:r>
        <w:rPr>
          <w:b/>
        </w:rPr>
        <w:t>E. 2</w:t>
      </w:r>
    </w:p>
    <w:p>
      <w:r>
        <w:t>En l'occurrence, il est incontesté que le recourant ne s'est pas constitué partie plaignante, ne pouvant donc se prévaloir devant le Tribunal fédéral des droits de partie y relatifs (cf. art. 81 al. 1 let. a et b ch. 5 et 6 LTF). Cependant, vu l'issue du litige, la question de savoir si l'éventuelle qualité de lésé pour l'infraction dénoncée ( art. 105 al. 2 CPP ) lui permet de recourir devant le Tribunal fédéral peut rester indécise.</w:t>
      </w:r>
    </w:p>
    <w:p>
      <w:r>
        <w:rPr>
          <w:b/>
        </w:rPr>
        <w:t>E. 3</w:t>
      </w:r>
    </w:p>
    <w:p>
      <w:r>
        <w:t>Invoquant les art. 310 al. 2, 320 al. 1, 80 al. 2 et 85 al. 2 CPP, l' art. 29 al. 2 Cst. et l' art. 3 al. 2 let . c CPP, le recourant se plaint d'un " vice de forme " au motif que l'ordonnance de non-entrée en matière du 23 janvier 2017 n'était pas motivée et ne lui avait pas été notifiée. En outre, il n'avait pas été entendu avant que cette décision ne soit rendue.</w:t>
      </w:r>
    </w:p>
    <w:p>
      <w:r>
        <w:rPr>
          <w:b/>
        </w:rPr>
        <w:t>E. 3.1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A teneur de l' art. 81 al. 1 let. b CPP , applicable par renvoi des art. 310 al. 2 et 320 al. 1 CPP, les jugements et autres prononcés clôturant la procédure contiennent notamment un exposé des motifs.</w:t>
      </w:r>
    </w:p>
    <w:p>
      <w:r>
        <w:t>Selon l' art. 85 al. 2 CPP , les autorités pénales notifient leurs prononcés par lettre signature ou par tout autre mode de communication impliquant un accusé de réception, notamment par l'entremise de la police. Une notification irrégulière a généralement pour seule conséquence qu'elle ne doit entraîner aucun préjudice pour son destinataire (cf. ATF 122 I 97 consid. 3aa p. 99 s.; également ATF 141 I 97 consid. 7.1 p. 102 s.). Le délai de recours pour attaquer un acte notifié irrégulièrement court dès le jour où le destinataire a pu en prendre connaissance, dans son dispositif et ses motifs (cf. ATF 139 IV 228 consid. 1.3 p. 232).</w:t>
      </w:r>
    </w:p>
    <w:p>
      <w:r>
        <w:t>Avant l'ouverture d'une instruction, le droit de participer à l'administration des preuves ne s'applique en principe pas ( art. 147 al. 1 CPP</w:t>
      </w:r>
    </w:p>
    <w:p>
      <w:r>
        <w:t>a contrario ; ATF 143 IV 397 consid. 3.3.2 p. 403; 140 IV 172 consid. 1.2.2 p. 175), et ce y compris en cas d'investigations policières diligentées à titre de complément d'enquête requis par le ministère public en vertu de l' art. 309 al. 2 CPP (arrêts 6B_191/2021 du 11 août 2021 consid. 7.2.2; 6B_70/2021 du 12 juillet 2021 consid. 3.2.2; 6B_1007/2020 du 13 avril 2021 consid. 2.3).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6B_191/2021 précité consid. 7.2.2; 6B_70/2021 précité consid. 3.2.2; 6B_1007/2020 précité consid. 2.3).</w:t>
      </w:r>
    </w:p>
    <w:p>
      <w:r>
        <w:rPr>
          <w:b/>
        </w:rPr>
        <w:t>E. 3.2</w:t>
      </w:r>
    </w:p>
    <w:p>
      <w:r>
        <w:t>Le ministère public a rendu l'ordonnance de non-entrée en matière du 23 janvier 2017 " par fichet ". Cet acte n'a pas été notifié. En réponse à la demande de consultation du dossier des 25 août et 1er septembre 2020, le ministère public a communiqué au recourant la décision prise le 23 janvier 2017 avec l'indication des voies de recours. Ce courrier par pli simple ne répond pas aux exigences de notification de l' art. 85 al. 2 CPP . Cela étant, la cour cantonale a constaté que le recourant n'en avait subi nul préjudice. Dans son recours en matière pénale, le recourant se plaint d'une notification irrégulière parce que l'ordonnance de non-entrée en matière ne lui a pas été notifiée dans un premier temps et parce qu'elle lui a été communiquée par pli simple ensuite. Cependant, il n'indique nullement en quoi la cour cantonale aurait erronément retenu qu'il n'en avait subi aucun préjudice. Il ne prétend pas, en particulier, que la communication sous pli simple ne lui serait pas parvenue ou qu'il aurait été empêché de former un recours valable dans le délai prescrit, étant rappelé que son recours cantonal a été jugé recevable à la forme. Il n'allègue pas non plus qu'il avait un droit à ce que l'ordonnance de non-entrée en matière lui soit immédiatement notifiée en vertu des art. 321 al. 1 cum 310 al. 2 CPP et qu'il lui aurait été dommageable de prendre connaissance des motifs de cette décision en septembre 2020 seulement, étant au demeurant souligné qu'il a lui-même manifesté son intérêt vis-à-vis de la procédure pénale pour la première fois plus de quatre ans après les faits. En conséquence, il ne motive pas à satisfaction de droit le grief tiré d'une notification irrégulière de l'ordonnance de non-entrée en matière (cf. art. 42 al. 2 LTF ). Ce grief est, dans cette mesure, irrecevable.</w:t>
      </w:r>
    </w:p>
    <w:p>
      <w:r>
        <w:t>Comme la cour cantonale l'a observé, il ressortait de l'ordonnance de non-entrée en matière qu'aucune infraction n'était réalisée pour cause de " défenestration ", explication portée en regard de l' art. 310 al. 1 let. a CPP . Contrairement à ce que soutient le recourant, cette motivation permet de comprendre pour quel motif aucune procédure n'a été ouverte. La cour cantonale a en outre relevé de manière pertinente que le recourant l'avait parfaitement comprise puisqu'il plaidait, au contraire que la procédure révélait le soupçon suffisant d'une infraction à l' art. 219 CP , ne serait-ce que par application du principe " in dubio pro duriore ". Le grief tiré d'un défaut de motivation de l'ordonnance de non-entrée en matière est par conséquent infondé.</w:t>
      </w:r>
    </w:p>
    <w:p>
      <w:r>
        <w:t>Enfin, conformément à la jurisprudence mise en exergue ci-dessus (cf. consid. 3.1</w:t>
      </w:r>
    </w:p>
    <w:p>
      <w:r>
        <w:t>in fine ), le recourant ne disposait pas d'un droit à être entendu avant que le ministère public ne rende l'ordonnance de non-entrée en matière. Infondé, ce grief doit être rejeté.</w:t>
      </w:r>
    </w:p>
    <w:p>
      <w:r>
        <w:rPr>
          <w:b/>
        </w:rPr>
        <w:t>E. 4</w:t>
      </w:r>
    </w:p>
    <w:p>
      <w:r>
        <w:t>Invoquant la violation des art. 309 et 310 CPP et de l' art. 219 CP ainsi qu'un déni de justice au sens de l' art. 29 al. 1 Cst. , le recourant fait grief à la cour cantonale d'avoir confirmé le bien-fondé de l'ordonnance de non-entrée en matière.</w:t>
      </w:r>
    </w:p>
    <w:p>
      <w:r>
        <w:rPr>
          <w:b/>
        </w:rPr>
        <w:t>E. 4.1.1</w:t>
      </w:r>
    </w:p>
    <w:p>
      <w:r>
        <w:t>Conformément à l' art. 310 al. 1 let. a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arrêts 6B_77/2021 du 6 mai 2021 consid. 2.2; 6B_854/2020 du 19 janvier 2021 consid. 2.1).</w:t>
      </w:r>
    </w:p>
    <w:p>
      <w:r>
        <w:rPr>
          <w:b/>
        </w:rPr>
        <w:t>E. 4.1.2</w:t>
      </w:r>
    </w:p>
    <w:p>
      <w:r>
        <w:t>Selon l' art. 219 al. 1 CP , celui qui aura violé son devoir d'assister ou d'élever une personne mineure dont il aura ainsi mis en danger le développement physique ou psychique, ou qui aura manqué à ce devoir, sera puni d'une peine privative de liberté de trois ans au plus ou d'une peine pécuniaire. Selon l'al. 2 de cette disposition, si le délinquant a agi par négligence, la peine pourra être une amende au lieu d'une peine privative de liberté ou d'une peine pécuniaire.</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le directeur d'un home ou d'un internat, etc ( ATF 125 IV 64 consid. 1a p. 68 s. et les références citées).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 ATF 125 IV 64 consid. 1a p. 69; arrêt 6B_1220/2020 du 1er juillet 2021 consid. 1.2). 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et l'arrêt cité; arrêt 6B_1220/2020 précité consid. 1.2).</w:t>
      </w:r>
    </w:p>
    <w:p>
      <w:r>
        <w:rPr>
          <w:b/>
        </w:rPr>
        <w:t>E. 4.1.3</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p. 140; 135 IV 56 consid. 2.1 p. 64 et les références citées).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exemples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 ATF 143 III 242 consid. 3.7 p. 250; 134 IV 255 consid. 4.4.2 p. 265 s.; 133 IV 158 consid. 6.1 p. 168). La question de la causalité adéquate constitue une question de droit que le Tribunal fédéral revoit librement ( ATF 142 IV 237 consid. 1.5.1 et 1.5.2 p. 244; 139 V 176 consid 8.4.1 à 8.4.3 p. 189 s.).</w:t>
      </w:r>
    </w:p>
    <w:p>
      <w:r>
        <w:rPr>
          <w:b/>
        </w:rPr>
        <w:t>E. 4.1.4</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auraient pu arbitrairement s'écarter d'un moyen de preuve clair ou, à l'inverse, tenir arbitrairement un fait comme clairement établi ( ATF 143 IV 241 consid. 2.3.2 p. 244 s.; arrêts 6B_258/2021 du 12 juillet 2021 consid. 2.1; 6B_77/2021 du 6 mai 2021 consid. 2.1). Les critiques de nature appellatoire sont irrecevables ( ATF 145 IV 154 consid. 1.1 p. 156).</w:t>
      </w:r>
    </w:p>
    <w:p>
      <w:r>
        <w:rPr>
          <w:b/>
        </w:rPr>
        <w:t>E. 4.2</w:t>
      </w:r>
    </w:p>
    <w:p>
      <w:r>
        <w:t>La cour cantonale a admis que C.________, maître d'internat présent le soir des faits, occupait une position de garant vis-à-vis du recourant. Dans la mesure où le recourant n'avait pas seulement été concrètement mis en danger, au sens de l' art. 219 CP , mais avait été effectivement lésé, il pouvait se poser la question du concours entre l' art. 219 CP invoqué par le recourant et l' art. 125 CP . Dans les deux hypothèses, la responsabilité du maître d'internat mis en cause devait s'analyser à l'aune des principes applicables au garant. Il se posait donc la question de la négligence, au sens des art. 125 al. 2 CP et 219 al. 2 CP, et d'une commission par omission.</w:t>
      </w:r>
    </w:p>
    <w:p>
      <w:r>
        <w:t>La cour cantonale a tout d'abord observé que le recourant semblait conférer un caractère accidentel à l'événement en prétendant avoir chuté du balcon. Or les images de vidéosurveillance, prises peu auparavant, le montraient agenouillé devant sa chambre, sur la coursive; puis, comme prenant des repères, au moyen d'allées et venues entre sa chambre et le balcon; et enchaînant ensuite des signes religieux, voire mimant un geste avec un couteau sur sa gorge. Après avoir enjambé la rambarde du balcon, il était resté près d'une minute dans cette position, soit à 15 mètres du sol. Il s'était alors jeté dans le vide. Du sang avait été relevé sur le balcon, et un couteau retrouvé. La cour cantonale a considéré que ce déroulement des faits ne s'accordait pas avec la chute accidentelle d'une personne ivre qui se serait imprudemment penchée sur le balcon mais évoquait bien plus vraisemblablement un, voire deux actes auto-agressifs, d'un élève qui venait d'être surpris une nouvelle fois en état d'ébriété et qui savait que l'événement serait porté à la connaissance de ses parents, en particulier de son père, avec lequel il aurait été en conflit. Par ailleurs, il s'était écoulé environ une heure et demie entre la constatation de l'alcoolémie du recourant par l'éthylotest et les images susmentionnées. Ce délai relativement long, ainsi que les images vidéo dénotant une forme de préparation du recourant avant son saut dans le vide, montraient que ce dernier avait mûri et répété son funeste projet, et non basculé dans le vide par suite d'imprudence.</w:t>
      </w:r>
    </w:p>
    <w:p>
      <w:r>
        <w:t>L'autorité précédente a retenu que le lien entre l'alcoolémie du recourant, de 1.4o/oo, et un geste auto-agressif, commis dans cet état, n'allait pas de soi, singulièrement en l'absence du moindre indice que tel pourrait avoir été le cas par le passé,</w:t>
      </w:r>
    </w:p>
    <w:p>
      <w:r>
        <w:t>i.e. lors des précédentes constatations d'ivresse. Le recourant n'avait pas manifesté de colère ou de révolte devant le maître d'internat ou devant ses camarades, ni non plus menacé devant qui que ce soit de se supprimer ou d'attenter à son intégrité corporelle si ses parents apprenaient sa consommation d'alcool. Comme il était censé regagner sa chambre à l'effet de préparer son bagage pour le départ en week-end, son isolement, même prolongé, dans ce lieu n'était pas de nature à susciter de crainte particulière pour sa sécurité. La cour cantonale a conclu que l'ensemble de ces circonstances établissait qu'un défaut de surveillance ne saurait être imputé au maître d'internat et que l'intention auto-agressive du recourant, pour n'avoir pas été reconnaissable avant qu'il ne se rende dans sa chambre, aurait de toute manière rompu le lien de causalité entre cette éventuelle carence et le saut par-delà le balcon.</w:t>
      </w:r>
    </w:p>
    <w:p>
      <w:r>
        <w:rPr>
          <w:b/>
        </w:rPr>
        <w:t>E. 4.3</w:t>
      </w:r>
    </w:p>
    <w:p>
      <w:r>
        <w:t>Le recourant soutient que si le maître de pensionnat avait immédiatement, comme le nécessitait la situation, mis en place une surveillance continue de l'adolescent de 15 ans présentant un taux d'alcoolémie s'élevant à 1.4o/oo jusqu'à l'arrivée de sa famille, il n'aurait pas chuté depuis le balcon de sa chambre. Son accident était dû à son alcoolémie et à l'absence d'intérêt que lui avait porté C.________ ce soir-là.</w:t>
      </w:r>
    </w:p>
    <w:p>
      <w:r>
        <w:t>Le recourant affirme ainsi l'existence d'un manquement du maître d'internat ainsi qu'un lien de causalité (naturel) entre le défaut de surveillance et le drame survenu, qu'il qualifie d'accident. Il ne cherche toutefois pas à démontrer que la cour cantonale aurait fait preuve d'arbitraire en tenant clairement comme établi (par les images vidéo) le fait que sa chute ait été la conséquence d'un acte auto-agressif. Dans la mesure où il s'écarte de l'état de fait cantonal sans fournir de motivation répondant aux exigences de l' art. 106 al. 2 LTF , la prémisse de son allégation est irrecevable.</w:t>
      </w:r>
    </w:p>
    <w:p>
      <w:r>
        <w:t>Pour le surplus, le recourant se limite essentiellement à souligner sa forte alcoolisation, précisant qu'il n'était alors qu'un jeune adolescent de 15 ans, loin de sa famille. Il sied toutefois de relever que sa consommation d'alcool ce soir-là, quoiqu'elle ne fût pas anodine, ne l'avait pas empêché de revenir au collège, s'y entretenir avec le maître d'internat, se soumettre à l'éthylotest, se confier à des camarades et rejoindre sa chambre. Mais surtout, comme la cour cantonale l'a observé avec pertinence, le lien entre l'alcoolémie du recourant et un geste auto-agressif, commis dans cet état, n'allait pas de soi en l'absence du moindre indice que tel pourrait avoir été le cas lors des précédentes constatations d'ivresse. A teneur des faits retenus par la cour cantonale - que le recourant ne remet pas en cause -, le jeune élève n'avait jamais manifesté d'intention auto-agressive par le passé, pas plus qu'il n'avait exprimé de propos qui auraient dû être considérés alarmants, que ce soit de manière générale ou le soir en question plus spécifiquement.</w:t>
      </w:r>
    </w:p>
    <w:p>
      <w:r>
        <w:t>Dans ces circonstances, en retenant que C.________ ne pouvait pas anticiper, en laissant le recourant seul dans sa chambre pour qu'il prépare ses affaires en vue du week-end, que celui-ci tenterait de mettre fin à ses jours, la cour cantonale n'a pas méconnu la notion de causalité adéquate. La question de savoir si la cour cantonale pouvait également exclure toute violation des devoirs de prudence peut rester ouverte, l'application de l'art. 219, voire 125 CP étant déjà exclue dans cette mesure.</w:t>
      </w:r>
    </w:p>
    <w:p>
      <w:r>
        <w:rPr>
          <w:b/>
        </w:rPr>
        <w:t>E. 4.4</w:t>
      </w:r>
    </w:p>
    <w:p>
      <w:r>
        <w:t>Le recourant soutient encore que l'absence d'espace thérapeutique ou de soutien psychologique offert aux élèves du Collège B.________ posait la question de la responsabilité, sous l'angle de l' art. 219 CP , de l'internat et de C.________ dans le drame survenu.</w:t>
      </w:r>
    </w:p>
    <w:p>
      <w:r>
        <w:t>Il a été constaté, sans que le recourant ne remette en cause ces éléments, qu'il lui était déjà arrivé de rentrer ivre en fin de semaine et qu'à la suite de cela, le collège avait prévenu ses parents et mis en place un suivi particulier du recourant, à fréquence hebdomadaire. L'établissement scolaire n'était donc pas resté passif par rapport à la problématique de l'alcoolisation du recourant, étant par ailleurs relevé que la consommation d'alcool en soirée ne constitue pas encore une situation absolument exceptionnelle chez un adolescent. En l'absence de toute autre perturbation dans son comportement, rien ne permet d'envisager qu'en ne lui offrant pas un soutien thérapeutique avant les événements du 13 mars 2016, ses garants au sein de l'établissement scolaire auraient failli à leurs devoirs de prendre les mesures de sécurité qui s'imposent face à un danger, dont, encore une fois, le recourant ne démontre aucunement en quoi il aurait été prévisible pour les personnes concernées.</w:t>
      </w:r>
    </w:p>
    <w:p>
      <w:r>
        <w:rPr>
          <w:b/>
        </w:rPr>
        <w:t>E. 4.5</w:t>
      </w:r>
    </w:p>
    <w:p>
      <w:r>
        <w:t>Pour le surplus, le recourant ne suggère aucun acte d'instruction qui permettrait d'établir l'existence d'un lien de causalité naturelle et adéquate entre l'absence d'une surveillance mise en place par le maître d'internat, respectivement l'absence d'une offre thérapeutique au sein du collège, et l'issue tragique de la soirée du 13 mars 2016.</w:t>
      </w:r>
    </w:p>
    <w:p>
      <w:r>
        <w:t>Au vu de ce qui précède, la cour cantonale n'a pas violé le principe</w:t>
      </w:r>
    </w:p>
    <w:p>
      <w:r>
        <w:t>in dubio pro duriore ni l' art. 219 CP , voire 125 CP, en confirmant l'ordonnance de non-entrée en matière. Pour le surplus, les griefs du recourant tirés d'un déni de justice et de l'interdiction de l'arbitraire, tels qu'articulés, n'ont pas de portée propre et doivent eux aussi être rejetés.</w:t>
      </w:r>
    </w:p>
    <w:p>
      <w:r>
        <w:rPr>
          <w:b/>
        </w:rPr>
        <w:t>E. 5</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