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138/2018 vom 23. November 2018</w:t>
      </w:r>
    </w:p>
    <w:p>
      <w:r>
        <w:t>Bundesgericht, 2018-11-23, DE</w:t>
      </w:r>
    </w:p>
    <w:p>
      <w:r>
        <w:rPr>
          <w:b/>
        </w:rPr>
        <w:t xml:space="preserve">Quelle: </w:t>
      </w:r>
      <w:r>
        <w:t>https://mcp.opencaselaw.ch/entscheid/bger_6B_138_2018</w:t>
      </w:r>
    </w:p>
    <w:p>
      <w:r>
        <w:t>FR: TF 6B 138/2018 du 23 novembre 2018</w:t>
      </w:r>
    </w:p>
    <w:p>
      <w:r>
        <w:t>IT: TF 6B 138/2018 del 23 novembre 2018</w:t>
      </w:r>
    </w:p>
    <w:p>
      <w:pPr>
        <w:pStyle w:val="Heading2"/>
      </w:pPr>
      <w:r>
        <w:t>Regeste</w:t>
      </w:r>
    </w:p>
    <w:p>
      <w:r>
        <w:t>Zivilforderung; Willkür, Begründungspflicht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 Dabei geht es in erster Linie um Ansprüche auf Schadenersatz und Genugtuung aus Art. 41 ff. OR . Die Privatklägerschaft muss im Verfahren auf Beschwerde in Strafsachen darlegen, aus welchen Gründen und in welcher Hinsicht sich der angefochtene Entscheid auf die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1.2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1.3</w:t>
      </w:r>
    </w:p>
    <w:p>
      <w:r>
        <w:t>Die Beschwerdeführerin hat sich im Verfahren ausdrücklich als Privatklägerin konstituiert und Zivilforderungen geltend gemacht ( Art. 118 Abs. 1 StPO ; Untersuchungsakten act. ttt 0008 ff.). Die Vorinstanz hat ihre Zivilansprüche auf den Zivilweg verwiesen. Soweit die Beschwerdeführerin geltend macht, die Vorinstanz sei aufgrund des Schuldspruchs der beschuldigten Person grundsätzlich verpflichtet gewesen, auch über die Zivilansprüche zu entscheiden, kann auf ihre Beschwerde somit eingetreten werden.</w:t>
      </w:r>
    </w:p>
    <w:p>
      <w:r>
        <w:rPr>
          <w:b/>
        </w:rPr>
        <w:t>E. 2.1</w:t>
      </w:r>
    </w:p>
    <w:p>
      <w:r>
        <w:t>Die Beschwerdeführerin wendet sich gegen die Verweisung ihrer Schadenersatzforderung auf den Zivilweg. Sie rügt im Wesentlichen eine Verletzung von Art. 126 Abs. 1 lit. a StPO sowie eine Verletzung der Begründungspflicht. Im Einzelnen bringt sie vor, sie habe am 12. März und am 21. Mai 2004 Beträge von CHF 140'000.-- bzw. CHF 900'000.-- an die O.________ Ltd. überwiesen. Vom Gesamtbetrag von CHF 1'040'000.-- habe sie in der Folge CHF 200'000.-- bezogen, womit zu ihren Gunsten ein Saldo von CHF 840'000.-- verblieben sei. Am 24. Mai 2004 habe sie zudem Beträge von EUR 350'000.-- und USD 70'000.-- an die O.________ Ltd. überwiesen. Es sei jeweils ein Zins von 6 % p.a. vereinbart worden, der quartalsweise ausbezahlt worden sei. Die O.________ Ltd. habe die entsprechenden Saldi mit Kontoauszügen vom 27. September 2004 bestätigt und als ihr Guthaben anerkannt. Diese Beträge bildeten Grundlage der Zivilforderung. Von den genannten Investitionen habe es keine weiteren Rückzahlungen gegeben. Bei der in Anhang Ziff. 4.2 [U.________] zur Anklageschrift aufgeführten Zahlung der O.________ Ltd. vom 24. September 2003 im Betrag von CHF 150'000.-- (Anhang 4.2 S. 94) handle es sich um eine Rückzahlung aus einer früheren Investition, welche in keinem Zusammenhang mit der Schadenersatzforderung stehe. Insgesamt sei die Zivilforderung ausgewiesen und belegt. Der Schaden sei mithin genau beziffert und belegt. Es sei auch klar ersichtlich, dass sie keine Kapitalrückzahlung erhalten habe. Insgesamt bestehe somit kein Zweifel über die Höhe der Forderung. Da die Vorinstanz den Beschwerdegegner 2 schuldig gesprochen habe, habe sie Anspruch auf materielle Beurteilung der Zivilforderung. Es sei unerfindlich, aus welchen Gründen die Vorinstanz die Forderung nicht zugesprochen habe. Da die Vorinstanz ihren Entscheid nicht näher begründe, lasse sich nicht im Detail darlegen, inwiefern das angefochtene Urteil Bundesrecht verletze (Beschwerde S. 5 ff.).</w:t>
      </w:r>
    </w:p>
    <w:p>
      <w:r>
        <w:rPr>
          <w:b/>
        </w:rPr>
        <w:t>E. 2.2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 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 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3.1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des Bundesgerichts 6B_521/2007 vom 1. Februar 2008 E. 4.2). 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3.2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4.1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4.2</w:t>
      </w:r>
    </w:p>
    <w:p>
      <w:r>
        <w:t>Die Beschwerdeführerin hat gegen X.________ Schadenersatz in der Höhe von CHF 840'000.--, EUR 350'000.-- sowie USD 70'000.--, zuzüglich Zins zu 6 % seit dem 1. Oktober 2004 geltend gemacht. Dieser Betrag setzt sich nach den Ausführungen der Beschwerdeführerin zusammen aus den erbrachten Einlagen sowie den vertraglich vereinbarten Zinsen abzüglich der Rückzahlung von CHF 200'000.--. In Bezug auf diese Zivilforderung finden sich im angefochtenen Urteil keine speziellen Erwägungen. Es ergibt sich aus ihm lediglich in indirekter Weise, dass die Vorinstanz zum Schluss gelangt ist, die Schadenersatzforderung der Beschwerdeführerin sei nicht genügend substantiiert. Dies leitet sich aus dem Umstand ab, dass die Beschwerdeführerin in der Liste derjenigen Privatkläger aufgeführt ist, deren Zivilforderungen die Vorinstanz auf den Zivilweg verwiesen hat (angefochtenes Urteil S. 104 ff., 109).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 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 Im vorliegenden Fall hat die Beschwerdeführerin den Verlauf ihrer Investition, einschliesslich bezogener Zins- und Rückzahlungen in ihrer Beschwerde explizit und eingehend dargelegt. Ihre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der Beschwerdeführerin auf den Zivilweg jedenfalls nicht evident. Mangels auf den konkreten Fall bezogener Erwägungen der Vorinstanz lässt sich indes nicht beurteilen, gestützt auf welche Tatsachen und Überlegungen sie in Bezug auf die Beschwerdeführerin zum Ergebnis gelangt ist, es bestünden hinsichtlich des Verlaufs ihrer Investition Unklarheiten. Es ist daher nicht ersichtlich, welche Gründe sie dazu bewogen haben, die Forderung der Beschwerdeführerin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in Einklang steht. Das angefochtene Urteil ist daher in Anwendung von Art. 112 Abs. 3 BGG aufzuheben und die Sache an die Vorinstanz zur Ausfällung eines den Anforderungen von Art. 112 Abs. 1 BGG genügenden Entscheides zurückzuweisen.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5</w:t>
      </w:r>
    </w:p>
    <w:p>
      <w:r>
        <w:t>Aus diesen Gründen ist die Beschwerde gutzuheissen. Bei diesem Ausgang des Verfahrens sind keine Kosten zu erheben ( Art. 66 Abs. 1 und 4 BGG ). Die Schweizerische Eidgenossenschaft (Bundesanwaltschaft) hat dem Beschwerdeführer für das bundesgerichtliche Verfahren eine angemessene Parteientschädigung auszurichten ( Art. 68 Abs. 1 und 2 BGG ). Da im vorliegenden Beschwerdeverfahren nicht über die Zivilforderung an sich entschieden worden ist, folgt die Parteientschädigung dem Tarif für Streitsachen ohne Vermögensinteresse.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