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6B_1389/2017 vom 19. September 2018</w:t>
      </w:r>
    </w:p>
    <w:p>
      <w:r>
        <w:t>Bundesgericht, 2018-09-19, DE</w:t>
      </w:r>
    </w:p>
    <w:p>
      <w:r>
        <w:rPr>
          <w:b/>
        </w:rPr>
        <w:t xml:space="preserve">Quelle: </w:t>
      </w:r>
      <w:r>
        <w:t>https://mcp.opencaselaw.ch/entscheid/bger_6B_1389_2017</w:t>
      </w:r>
    </w:p>
    <w:p>
      <w:r>
        <w:t>FR: TF 6B_1389/2017 du 19 septembre 2018</w:t>
      </w:r>
    </w:p>
    <w:p>
      <w:r>
        <w:t>IT: TF 6B_1389/2017 del 19 settembre 2018</w:t>
      </w:r>
    </w:p>
    <w:p>
      <w:pPr>
        <w:pStyle w:val="Heading2"/>
      </w:pPr>
      <w:r>
        <w:t>Erwägungen</w:t>
      </w:r>
    </w:p>
    <w:p>
      <w:r>
        <w:rPr>
          <w:b/>
        </w:rPr>
        <w:t>E. 1</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worden war (Urteile 6B_1048/2014 vom 15. September 2015 E. 2 und 6B_1091/2016 vom 18. Mai 2017 E. 1). Angesichts der Darlegungen in der Vernehmlassung ist davon auszugehen, dass keine Personen das Verfahren fortsetzen wollen, auch nicht allenfalls im Zivilpunkt legitimierte (vgl. Urteil 6B_459/2008 vom 20. Mai 2009). Das Strafverfahren ist daher als gegenstandslos abzuschreiben.</w:t>
      </w:r>
    </w:p>
    <w:p>
      <w:r>
        <w:t>Bei diesem Verfahrensausgang sind keine Gerichtskosten zu erheben.</w:t>
      </w:r>
    </w:p>
    <w:p>
      <w:r>
        <w:t>Ergibt eine summarische Prüfung der Beschwerde, dass diese mit überwiegender Wahrscheinlichkeit begründet gewesen wäre, so ist der Kanton Aargau zu verpflichten, den Rechtsvertreter für das bundesgerichtliche Verfahren zu entschädigen ( Art. 71 BGG i.V.m. Art. 72 BZP ; BGE 125 V 373 E. 2a S. 374 f.; Urteil 6B_1091/2016 vom 18. Mai 2017 E. 2). Bei dieser Prüfung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 Urteil 6B_686/2018 vom 3. September 2018 E. 5).</w:t>
      </w:r>
    </w:p>
    <w:p>
      <w:r>
        <w:rPr>
          <w:b/>
        </w:rPr>
        <w:t>E. 2</w:t>
      </w:r>
    </w:p>
    <w:p>
      <w:r>
        <w:t>Bevor sich die Vorinstanz zur Eintretensfrage äusserte, entschied sie im Rahmen des von ihr angeordneten schriftlichen Verfahrens "von Amtes wegen" vorab über die Gültigkeit der gegen den Strafbefehl erhobenen Einsprache. Sie gelangte im Unterschied zur ersten Instanz zum Ergebnis, dass der Strafbefehl rechtsgültig zugestellt worden war und die dagegen gerichtete Einsprache verspätet gewesen sei. Darauf gestützt hob sie das Urteil der Erstinstanz auf, stellte fest, dass der Strafbefehl in Rechtskraft erwachsen war und trat erst anschliessend auf die Berufung nicht ein.</w:t>
      </w:r>
    </w:p>
    <w:p>
      <w:r>
        <w:t>Das Berufungsgericht entscheidet in einem schriftlichen Verfahren, ob auf die Berufung einzutreten ist, wenn die Verfahrensleitung oder eine Partei geltend macht, die Berufung sei verspätet oder unzulässig, ein zulässiges Anfechtungsobjekt sei nicht gegeben oder es fehlten Prozessvoraussetzungen oder lägen Prozesshindernisse vor ( Art. 403 Abs. 1 StPO ). Tritt es auf die Berufung ein, so fällt es ein neues Urteil, welches das erstinstanzliche Urteil ersetzt ( Art. 408 StPO ). Tritt es auf die Berufung nicht ein oder weist es sie ab, erwächst das erstinstanzliche Urteil in Rechtskraft ( Art. 437 Abs. 1 lit. c StPO ).</w:t>
      </w:r>
    </w:p>
    <w:p>
      <w:r>
        <w:t>Die Vorinstanz begründet ihren Nichteintretensentscheid nicht mit fehlenden Eintretensvoraussetzungen im Sinne von Art. 403 Abs. 1 StPO , sondern mit der angeblich verspäteten Einsprache gegen den Strafbefehl. Damit verletzt sie Bundesrecht. Tritt sie auf die Berufung ein, fällt sie ein neues Urteil und hebt damit das erstinstanzliche Urteil auf. Tritt sie nicht ein, hat es beim erstinstanzlichen Urteil sein Bewenden, so dass dieses nicht mehr aufgehoben werden kann.</w:t>
      </w:r>
    </w:p>
    <w:p>
      <w:r>
        <w:rPr>
          <w:b/>
        </w:rPr>
        <w:t>E. 3</w:t>
      </w:r>
    </w:p>
    <w:p>
      <w:r>
        <w:t>Mit seiner Berufung beantragte der Beschwerdeführer vor der Vorinstanz einen vollumfänglichen Freispruch von der Anklage der groben Verletzung der Verkehrsregeln. Er erhob Einwendungen sowohl gegen die Sachverhaltsfeststellung wie auch gegen die rechtliche Würdigung der Erstinstanz.</w:t>
      </w:r>
    </w:p>
    <w:p>
      <w:r>
        <w:t>Wird gegen einen Strafbefehl Einsprache erhoben, gilt dieser als Anklageschrift (Art. 356 Abs. 1 zweiter Satz StPO). Das erstinstanzliche Gericht entscheidet über die Gültigkeit des Strafbefehls und der Einsprache ( Art. 356 Abs. 2 StPO ).</w:t>
      </w:r>
    </w:p>
    <w:p>
      <w:r>
        <w:t>Das Berufungsgericht überprüft das erstinstanzliche Urteil nur in den angefochtenen Punkten ( Art. 404 Abs. 1 StPO ). Es kann zugunsten, nicht aber zulasten der beschuldigten Person auch nicht angefochtene Punkte überprüfen, um gesetzwidrige oder unbillige Entscheidungen zu verhindern ( Art. 404 Abs. 2 StPO ). Die Rechtsmittelinstanz ist zwar bei ihrem Entscheid nicht an die Begründungen und an die Anträge der Parteien (ausser wenn sie Zivilklagen beurteilt) gebunden ( Art. 391 Abs. 1 StPO ). Sie darf aber Entscheide nicht zum Nachteil der beschuldigten oder verurteilten Person abändern, wenn das Rechtsmittel nur zu deren Gunsten ergriffen worden ist. Vorbehalten bleibt eine strengere Bestrafung aufgrund von Tatsachen, die dem erstinstanzlichen Gericht nicht bekannt sein konnten ( Art. 391 Abs. 2 StPO ).</w:t>
      </w:r>
    </w:p>
    <w:p>
      <w:r>
        <w:t>Nachdem das erstinstanzliche Gericht die Einsprache als rechtzeitig erachtet hatte und auf die Anklage eingetreten war, der Beschwerdeführer allein Berufung erhoben hatte, und die Gültigkeit der Anklage von keiner der Parteien angefochten worden war, bildete diese Frage nicht mehr Gegenstand des Berufungsverfahrens. Der Vorinstanz war es somit verwehrt, die Gültigkeit der Anklage und damit auch die Rechtzeitigkeit der Einsprache gegen den Strafbefehl einer erneuten Überprüfung zu unterziehen. Der angefochtene Entscheid wäre bereits deshalb aufzuheben gewesen.</w:t>
      </w:r>
    </w:p>
    <w:p>
      <w:r>
        <w:rPr>
          <w:b/>
        </w:rPr>
        <w:t>E. 4</w:t>
      </w:r>
    </w:p>
    <w:p>
      <w:r>
        <w:t>Eine summarische Prüfung ergibt, dass die Beschwerde gutzuheissen gewesen wäre. Entsprechend ist der Kanton Aargau zu verpflichten, den Rechtsvertreter für das bundesgerichtliche Verfahren zu entschädigen (oben E. 1). Der Rechtsvertreter macht einen Anspruch auf Entschädigung von [gerundet] Fr. 2'472.-- geltend (Vernehmlassung S. 3). Diese Entschädigung ist ihm ohne Weiteres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