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1387/2019 vom 10. Februar 2020</w:t>
      </w:r>
    </w:p>
    <w:p>
      <w:r>
        <w:t>Bundesgericht, 2020-02-10, FR</w:t>
      </w:r>
    </w:p>
    <w:p>
      <w:r>
        <w:rPr>
          <w:b/>
        </w:rPr>
        <w:t xml:space="preserve">Quelle: </w:t>
      </w:r>
      <w:r>
        <w:t>https://mcp.opencaselaw.ch/entscheid/bger_6B_1387_2019</w:t>
      </w:r>
    </w:p>
    <w:p>
      <w:r>
        <w:t>FR: TF 6B 1387/2019 du 10 février 2020</w:t>
      </w:r>
    </w:p>
    <w:p>
      <w:r>
        <w:t>IT: TF 6B 1387/2019 del 10 febbraio 2020</w:t>
      </w:r>
    </w:p>
    <w:p>
      <w:pPr>
        <w:pStyle w:val="Heading2"/>
      </w:pPr>
      <w:r>
        <w:t>Regeste</w:t>
      </w:r>
    </w:p>
    <w:p>
      <w:r>
        <w:t>Régime de détention ; irrecevabilité du recours | Droit pénal (en général)</w:t>
      </w:r>
    </w:p>
    <w:p>
      <w:pPr>
        <w:pStyle w:val="Heading2"/>
      </w:pPr>
      <w:r>
        <w:t>Erwägungen</w:t>
      </w:r>
    </w:p>
    <w:p>
      <w:r>
        <w:rPr>
          <w:b/>
        </w:rPr>
        <w:t>E. 1</w:t>
      </w:r>
    </w:p>
    <w:p>
      <w:r>
        <w:t>Par arrêt du 6 novembre 2019, la Chambre des recours pénale du Tribunal cantonal du canton de Vaud a rejeté le recours formé par A.________ contre la décision du 18 octobre 2019 par laquelle l'Office d'exécution des peines a mis fin au régime de la semi-détention et a ordonné l'exécution de la peine privative de liberté du prénommé en régime de détention ordinaire. A.________ a formé un recours en matière pénale au Tribunal fédéral contre cet arrêt.</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 Tribunal fédéral a imparti au recourant, par ordonnance du 4 décembre 2019, un délai au 3 janvier 2020 pour s'acquitter d'une avance de frais de 800 francs. Ce montant n'ayant pas été payé dans le délai fixé, l'intéressé a été derechef invité, par ordonnance du 16 janvier 2020, à verser l'avance de frais précitée jusqu'au 31 janvier 2020. A nouveau, le recourant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