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6B_1375/2021 vom 14. Februar 2022</w:t>
      </w:r>
    </w:p>
    <w:p>
      <w:r>
        <w:t>Bundesgericht, 2022-02-14, DE</w:t>
      </w:r>
    </w:p>
    <w:p>
      <w:r>
        <w:rPr>
          <w:b/>
        </w:rPr>
        <w:t xml:space="preserve">Quelle: </w:t>
      </w:r>
      <w:r>
        <w:t>https://mcp.opencaselaw.ch/entscheid/bger_6B_1375_2021</w:t>
      </w:r>
    </w:p>
    <w:p>
      <w:r>
        <w:t>FR: TF 6B_1375/2021 du 14 février 2022</w:t>
      </w:r>
    </w:p>
    <w:p>
      <w:r>
        <w:t>IT: TF 6B_1375/2021 del 14 febbraio 2022</w:t>
      </w:r>
    </w:p>
    <w:p>
      <w:pPr>
        <w:pStyle w:val="Heading2"/>
      </w:pPr>
      <w:r>
        <w:t>Erwägungen</w:t>
      </w:r>
    </w:p>
    <w:p>
      <w:r>
        <w:rPr>
          <w:b/>
        </w:rPr>
        <w:t>E. 1</w:t>
      </w:r>
    </w:p>
    <w:p>
      <w:r>
        <w:t>Oberstaatsanwaltschaft des Kantons Aargau,</w:t>
      </w:r>
    </w:p>
    <w:p>
      <w:r>
        <w:t>Frey-Herosé-Strasse 20, Wielandhaus, 5001 Aarau,</w:t>
      </w:r>
    </w:p>
    <w:p>
      <w:r>
        <w:rPr>
          <w:b/>
        </w:rPr>
        <w:t>E. 2</w:t>
      </w:r>
    </w:p>
    <w:p>
      <w:r>
        <w:t>Beim angefochtenen Entscheid handelt es sich um einen Zwischenentscheid, der das Strafverfahren gegen den Beschwerdeführer nicht abschliesst. Gegen selbständig eröffnete Vor- und Zwischenentscheide, die wie hier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In der Beschwerde muss - sofern das nicht offensichtlich ist - im Einzelnen dargelegt werden, weshalb diese Eintretensvoraussetzungen erfüllt sein sollen. Andernfalls genügt die Beschwerde der Begründungspflicht nach Art. 42 Abs. 1 und 2 BGG nicht und es kann darauf nicht eingetreten werden ( BGE 142 III 798 E. 2.2 S. 801; 138 III 46 E. 1.2 S. 47; 137 III 324 E. 1.1 S. 329; 136 IV 92 E. 4 S. 95; je mit Hinweisen).</w:t>
      </w:r>
    </w:p>
    <w:p>
      <w:r>
        <w:rPr>
          <w:b/>
        </w:rPr>
        <w:t>E. 3</w:t>
      </w:r>
    </w:p>
    <w:p>
      <w:r>
        <w:t>Der Beschwerdeführer äussert sich nicht zu den Eintretensvoraussetzungen von Art. 93 Abs. 1 BGG . Weder behauptet er, der angefochtene Entscheid bewirke einen nicht wieder gutzumachenden Nachteil ( Art. 93 Abs. 1 lit. a BGG ), noch legt er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4</w:t>
      </w:r>
    </w:p>
    <w:p>
      <w:r>
        <w:t>Ausgangsgemäss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