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6B_1372/2019 vom 30. Januar 2020</w:t>
      </w:r>
    </w:p>
    <w:p>
      <w:r>
        <w:t>Bundesgericht, 2020-01-30, DE</w:t>
      </w:r>
    </w:p>
    <w:p>
      <w:r>
        <w:rPr>
          <w:b/>
        </w:rPr>
        <w:t xml:space="preserve">Quelle: </w:t>
      </w:r>
      <w:r>
        <w:t>https://mcp.opencaselaw.ch/entscheid/bger_6B_1372_2019</w:t>
      </w:r>
    </w:p>
    <w:p>
      <w:r>
        <w:t>FR: TF 6B_1372/2019 du 30 janvier 2020</w:t>
      </w:r>
    </w:p>
    <w:p>
      <w:r>
        <w:t>IT: TF 6B_1372/2019 del 30 gennaio 2020</w:t>
      </w:r>
    </w:p>
    <w:p>
      <w:pPr>
        <w:pStyle w:val="Heading2"/>
      </w:pPr>
      <w:r>
        <w:t>Erwägungen</w:t>
      </w:r>
    </w:p>
    <w:p>
      <w:r>
        <w:rPr>
          <w:b/>
        </w:rPr>
        <w:t>E. 1</w:t>
      </w:r>
    </w:p>
    <w:p>
      <w:r>
        <w:t>Das Obergericht des Kantons Bern trat am 14. November 2019 auf eine Beschwerde androhungsgemäss nicht ein, weil der Beschwerdeführer die verlangte Sicherheit in Höhe von Fr. 600.-- nicht fristgerecht geleistet hatte ( Art. 383 Abs. 2 StPO ).</w:t>
      </w:r>
    </w:p>
    <w:p>
      <w:r>
        <w:t>Der Beschwerdeführer wendet sich an das Bundesgericht.</w:t>
      </w:r>
    </w:p>
    <w:p>
      <w:r>
        <w:rPr>
          <w:b/>
        </w:rPr>
        <w:t>E. 2</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 Die Bestimmungen von Art. 95 ff. BGG nennen die vor Bundesgericht zulässigen Beschwerdegründe. Hinsichtlich der Verletzung von Grundrechten besteht eine qualifizierte Rügepflicht ( Art. 106 Abs. 2 BGG ).</w:t>
      </w:r>
    </w:p>
    <w:p>
      <w:r>
        <w:rPr>
          <w:b/>
        </w:rPr>
        <w:t>E. 3</w:t>
      </w:r>
    </w:p>
    <w:p>
      <w:r>
        <w:t>Gemäss Art. 383 Abs. 1 Satz 1 StPO kann die Verfahrensleitung die Privatklägerschaft verpflichten, innert einer Frist für allfällige Kosten und Entschädigungen Sicherheit zu leisten. Art. 136 StPO bleibt vorbehalten (vgl. Art. 383 Abs. 1 Satz 2 StPO ). Wird die Sicherheit nicht fristgerecht geleistet, so tritt die Rechtsmittelinstanz auf das Rechtsmittel nicht ein ( Art. 383 Abs. 2 StPO ).</w:t>
      </w:r>
    </w:p>
    <w:p>
      <w:r>
        <w:rPr>
          <w:b/>
        </w:rPr>
        <w:t>E. 4</w:t>
      </w:r>
    </w:p>
    <w:p>
      <w:r>
        <w:t>Gegenstand des vorliegenden Verfahrens bildet einzig die Frage, ob die Vorinstanz die Behandlung der Beschwerde von der Bezahlung einer Sicherheitsleistung abhängig machen durfte und ob sie darauf zu Unrecht nicht eintrat. Der Beschwerdeführer setzt sich damit nicht auseinander. Stattdessen beschränkt er sich darauf, auf eine beiliegende Kopie seiner Strafanzeige zu verweisen. Daraus sei alles ersichtlich. Die Beschwerde enthält offensichtlich keine taugliche Begründung ( Art. 42 Abs. 2, Art. 106 Abs. 2 BGG ), weshalb darauf im Verfahren nach Art. 108 BGG nicht einzutreten ist.</w:t>
      </w:r>
    </w:p>
    <w:p>
      <w:r>
        <w:rPr>
          <w:b/>
        </w:rPr>
        <w:t>E. 5</w:t>
      </w:r>
    </w:p>
    <w:p>
      <w:r>
        <w:t>Bei diesem Ausgang des Verfahrens trägt der Beschwerdeführer die Gerichtskosten ( Art. 66 Abs. 1 BGG ). Das Gesuch um unentgeltliche Rechtspflege ist wegen Aussichtslosigkeit abzuweisen.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