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6B_136/2023 vom 21. Februar 2023</w:t>
      </w:r>
    </w:p>
    <w:p>
      <w:r>
        <w:t>Bundesgericht, 2023-02-21, DE</w:t>
      </w:r>
    </w:p>
    <w:p>
      <w:r>
        <w:rPr>
          <w:b/>
        </w:rPr>
        <w:t xml:space="preserve">Quelle: </w:t>
      </w:r>
      <w:r>
        <w:t>https://mcp.opencaselaw.ch/entscheid/bger_6B_136_2023</w:t>
      </w:r>
    </w:p>
    <w:p>
      <w:r>
        <w:t>FR: TF 6B_136/2023 du 21 février 2023</w:t>
      </w:r>
    </w:p>
    <w:p>
      <w:r>
        <w:t>IT: TF 6B_136/2023 del 21 febbraio 2023</w:t>
      </w:r>
    </w:p>
    <w:p>
      <w:pPr>
        <w:pStyle w:val="Heading2"/>
      </w:pPr>
      <w:r>
        <w:t>Erwägungen</w:t>
      </w:r>
    </w:p>
    <w:p>
      <w:r>
        <w:rPr>
          <w:b/>
        </w:rPr>
        <w:t>E. 1</w:t>
      </w:r>
    </w:p>
    <w:p>
      <w:r>
        <w:t>Der Beschwerdeführer erhob mit Eingabe vom 21. November 2022 Strafanzeige gegen die kantonale Steuerverwaltung; er machte geltend, die Steuerverwaltung habe ihn zu Unrecht wegen angeblich ausstehender Steuerschulden betrieben. Die Staatsanwaltschaft Basel-Landschaft nahm eine Strafuntersuchung am 24. November 2022 nicht an die Hand. Das Kantonsgericht Basel-Landschaft trat am 19. Dezember 2022 auf eine dagegen eingereichte Beschwerde nicht ein, weil diese den Begründungsanforderungen von Art. 396 Abs. 1 und Art. 385 Abs. 1 StPO nicht genügte und der Beschwerdeführer auch innert der ihm angesetzten Nachfrist keine den gesetzlichen Anforderungen genügende Beschwerdeschrift einreichte ( Art. 385 Abs. 2 StPO ). Der Beschwerdeführer wendet sich an das Bundesgericht.</w:t>
      </w:r>
    </w:p>
    <w:p>
      <w:r>
        <w:rPr>
          <w:b/>
        </w:rPr>
        <w:t>E. 2</w:t>
      </w:r>
    </w:p>
    <w:p>
      <w:r>
        <w:t>Gemäss Art. 42 Abs. 2 BGG ist in der Begründung der Beschwerde an das Bundesgericht in gedrängter Form unter Bezugnahme auf den angefochtenen Entscheid darzulegen, inwiefern dieser Recht verletzt.</w:t>
      </w:r>
    </w:p>
    <w:p>
      <w:r>
        <w:t>Gemäss Art. 385 Abs. 1 StPO hat die ein kantonales Rechtsmittel ergreifende Partei genau anzugeben, welche Punkte des Entscheids sie anficht, welche Gründe einen anderen Entscheid nahelegen und welche Beweismittel sie anruft.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3</w:t>
      </w:r>
    </w:p>
    <w:p>
      <w:r>
        <w:t>Anfechtungs- und Beschwerdeobjekt im bundesgerichtlichen Verfahren bildet einzig der vorinstanzliche Beschluss vom 19. Dezember 2022 ( Art. 80 BGG ). Vor Bundesgericht kann es folglich nur darum gehen, ob die kantonale Beschwerde den gesetzlichen Begründungsanforderungen genügte und die Vorinstanz darauf zu Unrecht nicht eingetreten ist. Der Beschwerdeführer setzt sich damit sowie mit den Anforderungen von Art. 385 Abs. 1 und 2 StPO in seiner Strafrechtsbeschwerde nicht auseinander, obwohl er zuvor ausdrücklich auf die Begründungsanforderungen gemäss Art. 42 Abs. 1 und 2 BGG hingewiesen wurde. Aus seiner Beschwerdeeingabe ergibt sich mithin nicht, dass und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Ausgangsgemäss sind die Gerichtskosten dem Beschwerdeführer aufzuerlegen ( Art. 66 Abs. 1 BGG ). Das sinngemässe Gesuch um unentgeltliche Rechtspflege ist wegen Aussichtslosigkeit abzuweisen (vgl. Art. 64 BGG ). Der finanziellen Lage des Beschwerdeführers ist durch eine herabgesetzte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