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6B_1369/2017 vom 16. Januar 2018</w:t>
      </w:r>
    </w:p>
    <w:p>
      <w:r>
        <w:t>Bundesgericht, 2018-01-16, FR</w:t>
      </w:r>
    </w:p>
    <w:p>
      <w:r>
        <w:rPr>
          <w:b/>
        </w:rPr>
        <w:t xml:space="preserve">Quelle: </w:t>
      </w:r>
      <w:r>
        <w:t>https://mcp.opencaselaw.ch/entscheid/bger_6B_1369_2017</w:t>
      </w:r>
    </w:p>
    <w:p>
      <w:r>
        <w:t>FR: TF 6B_1369/2017 du 16 janvier 2018</w:t>
      </w:r>
    </w:p>
    <w:p>
      <w:r>
        <w:t>IT: TF 6B_1369/2017 del 16 gennaio 2018</w:t>
      </w:r>
    </w:p>
    <w:p>
      <w:pPr>
        <w:pStyle w:val="Heading2"/>
      </w:pPr>
      <w:r>
        <w:t>Erwägungen</w:t>
      </w:r>
    </w:p>
    <w:p>
      <w:r>
        <w:rPr>
          <w:b/>
        </w:rPr>
        <w:t>E. 1</w:t>
      </w:r>
    </w:p>
    <w:p>
      <w:r>
        <w:t>Par jugement du 23 octobre 2017, la Cour d'appel pénale du Tribunal cantonal vaudois a déclaré irrecevable la demande de révision formée par X.________ contre l'arrêt du 25 avril 2003 aux termes duquel le Tribunal d'accusation vaudois a confirmé le refus de suivre à sa plainte déposée le 20 janvier 2003 contre inconnu. D'une part, la Cour d'appel a considéré que l'arrêt sujet à révision ne constituait manifestement pas un jugement pénal ouvrant la voie de la révision. D'autre part, X.________ ne présentait aucun fait ou moyen de preuve nouveau et sérieux, propre à ébranler les constatations de fait sur lesquelles la décision du Tribunal d'accusation était fondée.</w:t>
      </w:r>
    </w:p>
    <w:p>
      <w:r>
        <w:rPr>
          <w:b/>
        </w:rPr>
        <w:t>E. 2</w:t>
      </w:r>
    </w:p>
    <w:p>
      <w:r>
        <w:t>X.________ recourt en matière pénale au Tribunal fédéral contre le jugement cantonal du 23 octobre 2017.</w:t>
      </w:r>
    </w:p>
    <w:p>
      <w:r>
        <w:rPr>
          <w:b/>
        </w:rPr>
        <w:t>E. 2.1</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de sorte que la demande du recourant tendant à obtenir une prolongation du délai de recours afin de régulariser son écriture est rejetée.</w:t>
      </w:r>
    </w:p>
    <w:p>
      <w:r>
        <w:rPr>
          <w:b/>
        </w:rPr>
        <w:t>E. 2.2</w:t>
      </w:r>
    </w:p>
    <w:p>
      <w:r>
        <w:t>Le recourant ne se détermine aucunement sur les considérations cantonales susmentionnées (cf. consid. 1 supra). En particulier, il ne démontre pas en quoi le prononcé d'irrecevabilité frappant son écriture cantonale serait contraire au droit. Son argumentaire est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Vu l'issue de la procédure, la requête d'effet suspensif se révèle sans objet.</w:t>
      </w:r>
    </w:p>
    <w:p>
      <w:r>
        <w:rPr>
          <w:b/>
        </w:rPr>
        <w:t>E. 4</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