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6B_1364/2017 vom 16. Januar 2018</w:t>
      </w:r>
    </w:p>
    <w:p>
      <w:r>
        <w:t>Bundesgericht, 2018-01-16, FR</w:t>
      </w:r>
    </w:p>
    <w:p>
      <w:r>
        <w:rPr>
          <w:b/>
        </w:rPr>
        <w:t xml:space="preserve">Quelle: </w:t>
      </w:r>
      <w:r>
        <w:t>https://mcp.opencaselaw.ch/entscheid/bger_6B_1364_2017</w:t>
      </w:r>
    </w:p>
    <w:p>
      <w:r>
        <w:t>FR: TF 6B_1364/2017 du 16 janvier 2018</w:t>
      </w:r>
    </w:p>
    <w:p>
      <w:r>
        <w:t>IT: TF 6B_1364/2017 del 16 gennaio 2018</w:t>
      </w:r>
    </w:p>
    <w:p>
      <w:pPr>
        <w:pStyle w:val="Heading2"/>
      </w:pPr>
      <w:r>
        <w:t>Erwägungen</w:t>
      </w:r>
    </w:p>
    <w:p>
      <w:r>
        <w:rPr>
          <w:b/>
        </w:rPr>
        <w:t>E. 1.1</w:t>
      </w:r>
    </w:p>
    <w:p>
      <w:r>
        <w:t>Par arrêt du 25 octobre 2017, la Chambre des recours pénale du Tribunal cantonal vaudois a rejeté le recours de X.________ contre l'ordonnance de non-entrée en matière rendue le 10 août 2017 sur sa plainte contre inconnu pour lésions corporelles simples par négligence après avoir glissé et chuté sur le sol gelé de la Prison A.________, se blessant au poignet. Il reproche en particulier à l'administration pénitentiaire de ne pas avoir donné suite aux consultations médicales prescrites par son médecin et de lui avoir ainsi causé un léger handicap nécessitant le port d'une attelle. En bref, la chambre cantonale a considéré que X.________ n'avait apporté aucun élément propre à rendre vraisemblables de prétendus traitements inappropriés ou contraires aux droits humains. Ainsi qu'il l'avait lui-même exposé dans sa plainte du 19 juillet 2017, X.________ avait montré sa main enflée à un agent, le jour de sa chute, après avoir regagné sa cellule. Celui-ci avait alerté l'infirmerie où X.________ avait été conduit et examiné par le médecin de permanence. Ce dernier lui avait prescrit de la pommade et du paracétamol. En outre, le service pénitentiaire avait payé plusieurs consultations postérieurement à l'accident (P. 13/13), l'intéressé avait passé une radiographie et consulté le chef de la policlinique médicale universitaire de l'hôpital B.________, lequel avait préconisé le port d'une attelle de poignet à visée antalgique (P. 9/4).</w:t>
      </w:r>
    </w:p>
    <w:p>
      <w:r>
        <w:rPr>
          <w:b/>
        </w:rPr>
        <w:t>E. 1.2</w:t>
      </w:r>
    </w:p>
    <w:p>
      <w:r>
        <w:t>X.________ recourt en matière pénale au Tribunal fédéral contre l'arrêt cantonal.</w:t>
      </w:r>
    </w:p>
    <w:p>
      <w:r>
        <w:rPr>
          <w:b/>
        </w:rPr>
        <w:t>E. 2</w:t>
      </w:r>
    </w:p>
    <w:p>
      <w:r>
        <w:t>Aux termes de l' art. 100 al. 1 LTF , le recours contre une décision doit être déposé devant le Tribunal fédéral dans les trente jours qui suivent la notification de l'expédition complète. En l'espèce, le recourant a reçu notification de l'arrêt attaqué le mercredi 8 novembre 2017, de sorte qu'il disposait d'un délai pour recourir au Tribunal fédéral échéant le vendredi 8 décembre suivant. Sa seconde écriture datée du 13 décembre 2017 se révèle tardive et irrecevable dans la mesure où elle contient une motivation complémentaire au mémoire de recours du 23 novembre 2017.</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3.2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se plaint de n'avoir pas reçu d'autres soins - pour le traitement de son poignet - que des anti-douleurs ainsi qu'un tube de pommade et de n'avoir bénéficié d'aucune consultation auprès de l'hôpital B.________. Outre qu'il s'écarte des constatations cantonales susmentionnées (cf. consid. 1.1 supra) de manière irrecevable (cf. art. 105 al. 1 - 2 LTF et art. 9 Cst. ; sur la notion d'arbitraire v. ATF 140 I 201 consid. 6.1 p. 205), il ne démontre pas en quoi il aurait subi des traitements inhumains et dégradants, ce qui n'apparaît pas être le cas.</w:t>
      </w:r>
    </w:p>
    <w:p>
      <w:r>
        <w:rPr>
          <w:b/>
        </w:rPr>
        <w:t>E. 3.3</w:t>
      </w:r>
    </w:p>
    <w:p>
      <w:r>
        <w:t>L'hypothèse visée à l'art. 81 al. 1 let. b ch. 6 LTF n'entre pas en considération, le recourant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4</w:t>
      </w:r>
    </w:p>
    <w:p>
      <w:r>
        <w:t>Sur le vu de ce qui précède, le recours doit être déclaré irrecevable selon la procédure simplifiée prévue par l' art. 108 al. 1 let. a et b LTF . Comme les conclusions du recours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