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1361/2017 vom 12. Dezember 2017</w:t>
      </w:r>
    </w:p>
    <w:p>
      <w:r>
        <w:t>Bundesgericht, 2017-12-12, DE</w:t>
      </w:r>
    </w:p>
    <w:p>
      <w:r>
        <w:rPr>
          <w:b/>
        </w:rPr>
        <w:t xml:space="preserve">Quelle: </w:t>
      </w:r>
      <w:r>
        <w:t>https://mcp.opencaselaw.ch/entscheid/bger_6B_1361_2017</w:t>
      </w:r>
    </w:p>
    <w:p>
      <w:r>
        <w:t>FR: TF 6B 1361/2017 du 12 décembre 2017</w:t>
      </w:r>
    </w:p>
    <w:p>
      <w:r>
        <w:t>IT: TF 6B 1361/2017 del 12 dicembre 2017</w:t>
      </w:r>
    </w:p>
    <w:p>
      <w:pPr>
        <w:pStyle w:val="Heading2"/>
      </w:pPr>
      <w:r>
        <w:t>Regeste</w:t>
      </w:r>
    </w:p>
    <w:p>
      <w:r>
        <w:t>Nichtanhandnahmeverfügung (Amtsmissbrauch etc.) | Strafprozess</w:t>
      </w:r>
    </w:p>
    <w:p>
      <w:pPr>
        <w:pStyle w:val="Heading2"/>
      </w:pPr>
      <w:r>
        <w:t>Erwägungen</w:t>
      </w:r>
    </w:p>
    <w:p>
      <w:r>
        <w:rPr>
          <w:b/>
        </w:rPr>
        <w:t>E. 1</w:t>
      </w:r>
    </w:p>
    <w:p>
      <w:r>
        <w:t>Der Beschwerdeführer erstattete am 10. Mai 2017 Strafanzeige gegen den Leiter des Grundbuchamts Region Solothurn wegen Amtsmissbrauchs, Amtsanmassung, ungetreuer Amtsführung und Betrugs. Die Staatsanwaltschaft nahm die Strafanzeige am 5. Juli 2017 nicht an die Hand. Eine dagegen gerichtete Beschwerde wies das Obergericht des Kantons Solothurn am 24. Oktober 2017 ab. Der Beschwerdeführer wendet sich an das Bundesgericht. Er beantragt die Rückweisung der Sache an das Obergericht zur Neubeurteilung, wobei eine ordentliche unabhängige Strafuntersuchung mit Ermittlungshandlungen durchzuführen sei.</w:t>
      </w:r>
    </w:p>
    <w:p>
      <w:r>
        <w:rPr>
          <w:b/>
        </w:rPr>
        <w:t>E. 2</w:t>
      </w:r>
    </w:p>
    <w:p>
      <w:r>
        <w:t>Der angefochtene Entscheid bestätigt, dass das vom Beschwerdeführer angestrebte Strafverfahren nicht an die Hand genommen wird, und schliesst damit das Verfahren ab. Es handelt sich um einen Endentscheid einer letzten kantonalen Instanz in einer Strafsache, gegen den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gegen den angeblich fehlbaren Leiter des Grundbuchamts keine Zivilforderungen zu (vgl. § 2 Abs. 1 und 2 des Verantwortlichkeitsgesetzes des Kantons Solothurn vom 26. Juni 1966 [BSG 124.21]). Er hat folglich kein Beschwerderecht in der Sache.</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Unzulässig sind allerdings Rügen, deren Beurteilung von der Prüfung der Sache nicht getrennt werden kann und die im Ergebnis auf eine materielle Prüfung des angefochtenen Entscheids hinauslaufen ( BGE 136 IV 31 E. 1.4). Soweit eine Rüge zulässig ist, ist sie in der Beschwerde vorzubringen und klar und detailliert darzulegen, inwieweit das angerufene Recht verletzt worden sein soll ( Art. 106 Abs. 2 BGG ; BGE 139 I 229 E. 2.2). Der Beschwerdeführer rügt u.a. Verstösse gegen die allgemeinen Verfahrensgarantien, das rechtliche Gehör, die Rechtsweggarantie sowie das Recht auf ein faires Verfahren ( Art. 6 EMRK ). Er rügt ebenso eine Verletzung seines Rechts auf eine wirksame Beschwerde im Sinne von Art. 13 EMRK und des Diskriminierungsverbots nach Art. 14 EMRK . Soweit diese Vorbringen überhaupt ohne materielle Prüfung der Sache beurteilt werden könnten, genügen sie den strengen Begründungsanforderungen ( Art. 106 Abs. 2 BGG ) nicht. So ist aus der Beschwerde z.B. nicht im Ansatz ersichtlich, inwieweit gegen das rechtliche Gehör oder die Rechtsweggarantie verstossen worden oder das Verfahren nicht fair gewesen sein soll.</w:t>
      </w:r>
    </w:p>
    <w:p>
      <w:r>
        <w:rPr>
          <w:b/>
        </w:rPr>
        <w:t>E. 4</w:t>
      </w:r>
    </w:p>
    <w:p>
      <w:r>
        <w:t>Auf die Beschwerde ist im Verfahren nach Art. 108 BGG nicht einzutreten. Bei diesem Ausgang sind die Gerichtskosten dem Beschwerdeführer aufzuerlegen ( Art. 66 Abs. 1 BGG ). Analog zum Urteil 6B_1166/2017 vom 17. Oktober 2017 ist der finanziellen Lage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