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135/2019 vom 4. April 2019</w:t>
      </w:r>
    </w:p>
    <w:p>
      <w:r>
        <w:t>Bundesgericht, 2019-04-04, FR</w:t>
      </w:r>
    </w:p>
    <w:p>
      <w:r>
        <w:rPr>
          <w:b/>
        </w:rPr>
        <w:t xml:space="preserve">Quelle: </w:t>
      </w:r>
      <w:r>
        <w:t>https://mcp.opencaselaw.ch/entscheid/bger_6B_135_2019</w:t>
      </w:r>
    </w:p>
    <w:p>
      <w:r>
        <w:t>FR: TF 6B 135/2019 du 4 avril 2019</w:t>
      </w:r>
    </w:p>
    <w:p>
      <w:r>
        <w:t>IT: TF 6B 135/2019 del 4 aprile 2019</w:t>
      </w:r>
    </w:p>
    <w:p>
      <w:pPr>
        <w:pStyle w:val="Heading2"/>
      </w:pPr>
      <w:r>
        <w:t>Regeste</w:t>
      </w:r>
    </w:p>
    <w:p>
      <w:r>
        <w:t>Ordonnance de classement (abus de confiance, détérioration de données, escroquerie, gestion déloyale, violation de la LCD) | Procédure pénale</w:t>
      </w:r>
    </w:p>
    <w:p>
      <w:pPr>
        <w:pStyle w:val="Heading2"/>
      </w:pPr>
      <w:r>
        <w:t>Erwägungen</w:t>
      </w:r>
    </w:p>
    <w:p>
      <w:r>
        <w:rPr>
          <w:b/>
        </w:rPr>
        <w:t>E. 1.1</w:t>
      </w:r>
    </w:p>
    <w:p>
      <w:r>
        <w:t>Aux termes de l' art. 90 LTF , le recours est recevable contre les décisions qui mettent fin à la procédure.</w:t>
      </w:r>
    </w:p>
    <w:p>
      <w:r>
        <w:rPr>
          <w:b/>
        </w:rPr>
        <w:t>E. 1.2</w:t>
      </w:r>
    </w:p>
    <w:p>
      <w:r>
        <w:t>Par l'arrêt attaqué, la cour cantonale a annulé l'ordonnance de classement du 15 septembre 2015 en tant qu'elle portait sur le chef de prévention de violation de l' art. 3 al. 1 let. b LCD . Elle a toutefois estimé qu'un renvoi du dossier de la cause au ministère public pour complément d'instruction s'agissant de ce chef de prévention était sans objet (cf. ch. III du dispositif de l'arrêt entrepris), dès lors qu'ultérieurement à l'ordonnance du 15 septembre 2015, le classement de la procédure sur ce point avait été prononcé le 13 mars 2017 par le ministère public, puis confirmé par arrêt du 7 juin 2017 de la Chambre des recours pénale, lequel n'avait pas valablement été entrepris au Tribunal fédéral (cf. arrêt attaqué, consid. 3.6.3 p. 19). On comprend dès lors que, nonobstant l'admission partielle du recours dirigé contre l'ordonnance du 15 septembre 2015, la cour cantonale n'a pas remis en cause le classement de la procédure en ce qu'elle concernait les infractions à la loi fédérale contre la concurrence déloyale. La cour cantonale a par ailleurs jugé que l'ordonnance de classement du 15 septembre 2015 devait être confirmée s'agissant des autres chefs de prévention (cf. ch. II du dispositif de l'arrêt entrepris). Il apparaît dès lors que l'arrêt attaqué a mis fin à la procédure et constitue donc une décision finale au sens de l' art. 90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se plaint d'infractions distinctes, elle doit mentionner, par rapport à chacune d'elles, en quoi consiste son dommage (arrêt 6B_875/2018 du 15 novembre 2018 consid. 1 et les références citées).</w:t>
      </w:r>
    </w:p>
    <w:p>
      <w:r>
        <w:rPr>
          <w:b/>
        </w:rPr>
        <w:t>E. 2.2</w:t>
      </w:r>
    </w:p>
    <w:p>
      <w:r>
        <w:t>Le recourant soutient avoir été lésé " à concurrence d'environ trois millions de francs par le prévenu et ses complices ", ce préjudice devant être déduit " de l'ensemble des infractions dénoncées ".</w:t>
      </w:r>
    </w:p>
    <w:p>
      <w:r>
        <w:rPr>
          <w:b/>
        </w:rPr>
        <w:t>E. 2.2.1</w:t>
      </w:r>
    </w:p>
    <w:p>
      <w:r>
        <w:t>On comprend toutefois des explications du recourant que le préjudice allégué a en réalité été subi en lien avec les actes d'escroquerie ( art. 146 CP ) qui auraient été commis par l'intimé, entre la fin 2006 et la fin 2007, par le fait de lui avoir fait miroiter la possibilité de devenir actionnaire de la société suisse C.________ SA en créant un climat de confiance trompeur pour l'amener à verser un montant total de 3'190'000 fr., sans contrepartie, tout en modifiant en parallèle la structure financière de la société par le transfert de ses actifs vers des entités étrangères. Dès lors que le dommage allégué paraît découler directement de l'infraction en cause, le recourant a dans cette mesure la qualité pour recourir. Il ne peut en revanche pas déduire, pour ces mêmes faits, de prétentions civiles propres résultant d'actes de gestion déloyale ( art. 158 CP ) commis au détriment de C.________ SA ou d'autres entités contrôlées par l'intimé, dès lors que, lorsqu'une infraction est perpétrée au détriment du patrimoine d'une personne morale, seule celle-ci subit directement un dommage et peut prétendre à la qualité de lésée, à l'exclusion notamment de ses actionnaires (cf. ATF 140 IV 155 consid. 3.3.1 p. 158; arrêt 6B_791/2017 du 8 mars 2018 consid. 1.2.1).</w:t>
      </w:r>
    </w:p>
    <w:p>
      <w:r>
        <w:rPr>
          <w:b/>
        </w:rPr>
        <w:t>E. 2.2.2</w:t>
      </w:r>
    </w:p>
    <w:p>
      <w:r>
        <w:t>Pour le surplus, le recourant n'invoque pas de dommage supplémentaire qu'il aurait subi en relation avec les autres infractions dénoncées, en particulier avec les prétendus actes de concurrence déloyale commis en février 2009 par l'intimé ( art. 23 al. 1 LCD en relation avec l' art. 3 al. 1 let. a et b LCD ), qui ne sont pas en relation de causalité avec le dommage allégué. Il en va de même des actes d'escroquerie qui auraient été perpétrés subséquemment aux versements litigieux, à savoir ceux en lien avec la conversion de l'investissement du recourant en un contrat de prêt consenti le 22 décembre 2017 au nom de la fondation E.________, alors que l'intimé aurait su que cette structure n'aurait pas la capacité de rembourser le prêt. Au moment où ce contrat avait été conclu, le recourant avait en effet déjà investi plus de trois millions de francs. Ce n'est donc pas la conversion de l'investissement en prêt, ni le refus de procéder à son remboursement à l'échéance convenue, qui a amené le recourant à commettre des actes préjudiciables à ses intérêts, ni qui a en conséquence causé le dommage allégué. Enfin, le recourant ne consacre aucun développement aux infractions d'abus de confiance ( art. 138 CP ) et de détérioration de données ( art. 144bis CP ), pour lesquelles la procédure était également dirigée contre l'intimé. Il s'ensuit que le recours est irrecevable dans cette mesure.</w:t>
      </w:r>
    </w:p>
    <w:p>
      <w:r>
        <w:rPr>
          <w:b/>
        </w:rPr>
        <w:t>E. 3.1</w:t>
      </w:r>
    </w:p>
    <w:p>
      <w:r>
        <w:t>Le recourant conteste le classement de la procédure, en invoquant à la fois des violations de son droit d'être entendu, du principe in dubio pro duriore ainsi que de l' art. 146 al. 1 CP .</w:t>
      </w:r>
    </w:p>
    <w:p>
      <w:r>
        <w:rPr>
          <w:b/>
        </w:rPr>
        <w:t>E. 3.1.1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Le principe in dubio pro duriore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 138 IV 86 consid. 4.1.2 p. 91; 186 consid 4.1 p. 190).</w:t>
      </w:r>
    </w:p>
    <w:p>
      <w:r>
        <w:rPr>
          <w:b/>
        </w:rPr>
        <w:t>E. 3.1.2</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ss), si l'autorité précédente a arbitrairement jugé la situation probatoire claire ou a admis arbitrairement que certains faits étaient clairement établis ( ATF 143 IV 241 consid. 2.3.2 p. 244 s.). En outre, le Tribunal fédéral n'examine la violation de droits fondamentaux que si ce grief a été invoqué et motivé de manière précise par le recourant ( art. 106 al. 2 LTF ; ATF 143 IV 500 consid. 1.1 p. 503). Il n'entre pas en matière sur les critiques de nature appellatoire ( ATF 142 III 364 consid. 2.4 p. 368).</w:t>
      </w:r>
    </w:p>
    <w:p>
      <w:r>
        <w:rPr>
          <w:b/>
        </w:rPr>
        <w:t>E. 3.1.3</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 Le droit d'être entendu de l' art. 29 al. 2 Cst. implique également pour le juge l'obligation de motiver sa décision, afin que l'intéressé puisse se rendre compte de la portée de celle-ci et l'attaquer en connaissance de cause ( ATF 141 III 28 consid. 3.2.4 p. 41; 139 IV 179 consid. 2.2 p. 183).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139 IV 179 consid. 2.2 p. 183; 138 I 232 consid. 5.1 p. 237).</w:t>
      </w:r>
    </w:p>
    <w:p>
      <w:r>
        <w:rPr>
          <w:b/>
        </w:rPr>
        <w:t>E. 3.1.4</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Ainsi, n'importe quelle négligence de sa part ne suffit pas à exclure l'astuce ( ATF 126 IV 165 consid. 2a p. 172). Il n'est donc pas nécessaire que la dupe soit exempte de la moindre faute (arrêt 6B_314/2011 du 27 octobre 2011 consid. 3.2.1 et la référence citée). La tromperie astucieuse doit amener la dupe, dans l'erreur, à accomplir un acte préjudiciable à ses intérêts pécuniaires ou à ceux d'un tiers. L'erreur créée ou confortée par la tromperie doit motiver l'acte ( ATF 128 IV 255 consid. 2e/aa p. 256). La dupe doit conserver une certaine liberté de choix (arrêts 6B_659/2014 du 22 décembre 2017 consid. 14.1; 6B_552/2013 du 9 janvier 2014 consid. 2.3.2 et les références citées).</w:t>
      </w:r>
    </w:p>
    <w:p>
      <w:r>
        <w:rPr>
          <w:b/>
        </w:rPr>
        <w:t>E. 3.2</w:t>
      </w:r>
    </w:p>
    <w:p>
      <w:r>
        <w:t>La cour cantonale a retenu qu'aucun élément ne permettait de retenir l'hypothèse selon laquelle les organes de C.________ SA avaient fait des promesses fallacieuses au recourant dans le dessein de lui soutirer indûment de l'argent. Il était ainsi constant qu'au moment où les négociations avaient été entamées en vue de l'acquisition d'une participation dans le capital de la société C.________ SA, soit à la fin de l'année 2006, le recourant et B.________ s'entendaient bien et avaient réellement pour objectif de parvenir à un accord sur la participation de l'intéressé au capital de C.________ SA. Il n'apparaissait pas que, dans ce contexte, l'intimé soit intervenu pour tromper le recourant en exploitant le lien qui l'unissait à B.________ et l'inciter à injecter des fonds dans la société. De surcroît, la cour cantonale a constaté, en référence aux auditions et aux témoignages recueillis en cours d'enquête, que c'était à des fins d'optimisation fiscale - et non pour tromper le recourant - que la structure de C.________ SA avait été modifiée par l'intimé au début de l'année 2007, moyennant la création de la fondation liechtensteinoise E.________ et de la société autrichienne D.________ GmbH ainsi que le transfert de la marque C.________ à la société chypriote G.________ Ltd. Or, il ressortait des propres déclarations du recourant que celui-ci avait été informé de la modification de la structure, dès mars 2007, si bien que les négociations portaient depuis lors sur l'acquisition de parts dans la société D.________ GmbH et non plus dans C.________ SA. Malgré cela, il avait poursuivi les pourparlers tout en continuant à allouer des fonds, non plus seulement au crédit de C.________ SA, mais également à celui de E.________. C'était dès lors en toute connaissance de cause qu'il avait poursuivi ses investissements, de sorte que l'on ne pouvait pas retenir qu'il se soit trouvé dans l'erreur par l'effet d'une tromperie astucieuse orchestrée par l'intimé.</w:t>
      </w:r>
    </w:p>
    <w:p>
      <w:r>
        <w:rPr>
          <w:b/>
        </w:rPr>
        <w:t>E. 3.3</w:t>
      </w:r>
    </w:p>
    <w:p>
      <w:r>
        <w:t>Contrairement à ce que soutient le recourant, la motivation de la cour cantonale permet de comprendre le raisonnement suivi s'agissant du classement de la procédure en lien avec l'infraction d'escroquerie reprochée à l'intimé. Bien que l'autorité précédente n'eût pas expressément rejeté tous les arguments du recourant, ce dernier a compris le sens de cette motivation, puisqu'il a été en mesure de l'attaquer dans le cadre de son recours au Tribunal fédéral (cf. infra consid. 3.5).</w:t>
      </w:r>
    </w:p>
    <w:p>
      <w:r>
        <w:rPr>
          <w:b/>
        </w:rPr>
        <w:t>E. 3.4</w:t>
      </w:r>
    </w:p>
    <w:p>
      <w:r>
        <w:t>Le recourant se plaint de ce que les mesures d'instruction qu'il avait requises n'ont pas été mises en oeuvre. Il soutient que son droit d'être entendu a été violé et se prévaut dans ce contexte des art. 6 CEDH , 29 Cst. et 318 CPP. Si le recourant prétend que la production des documents comptables, des contrats et des actes de fondation en lien avec la restructuration du groupe " C.________ " était propre à démontrer que l'intimé avait abusé d'entités opaques afin d'empêcher que " des mesures de droit civil puissent avoir quelque effet que ce soit ", il ne conteste toutefois pas avoir été informé du montage financier échafaudé par l'intimé et avoir malgré tout poursuivi ses investissements. Or, en tant qu'homme d'affaires exerçant sur le plan international, il ne pouvait pas ignorer que l'utilisation de structures sises dans différents Etats était de nature à compliquer toute démarche relevant du droit civil qui lui aurait permis d'obtenir le respect des prétendus engagements de l'intimé ou, le cas échéant, le recouvrement des montants investis. De surcroît, on ne voit pas que les mesures d'instruction requises permettraient d'établir que l'intimé poursuivait un autre but que celui d'optimiser la situation des affaires de B.________ sur le plan fiscal, comme l'intimé l'avait admis et détaillé lors de son audition (cf. procès-verbal d'audition n° 8, p. 3). En particulier, dans la mesure où le recourant avait été informé du transfert des actifs de C.________ SA dans des structures étrangères, il n'apparaît pas que ces démarches pourraient avoir été réalisées dans l'optique de le tromper quant à la perspective qu'il acquière à terme une participation dans le groupe " C.________ ". En tant que les mesures requises portaient également sur l'audition de H.________, juriste au sein du I.________ SA, consulté de mai à juillet 2007, et la production de la correspondance échangée avec ce dernier, le recourant n'apporte aucune explication sur le rôle tenu par celui-ci, ni sur les circonstances de son intervention. Si, selon le recourant, H.________ avait perçu " les manoeuvres frauduleuses de l'intimé " et avait acquis la conviction que l'intimé était un " escroc ", il n'apparaît toutefois pas qu'il ait directement participé à la restructuration financière dénoncée, de sorte que son témoignage ne serait pas propre à apporter un éclairage suffisamment précis quant aux intentions supposées de l'intimé et de B.________. Enfin, le recourant évoque les auditions des dénommés J.________ et K.________, sans apporter une quelconque indication sur leurs fonctions ou leur lien avec les faits dénoncés. Au vu de ce qui précède, on ne saurait déduire que l'appréciation anticipée des preuves, à laquelle la cour cantonale a procédé, serait entachée d'arbitraire.</w:t>
      </w:r>
    </w:p>
    <w:p>
      <w:r>
        <w:rPr>
          <w:b/>
        </w:rPr>
        <w:t>E. 3.5</w:t>
      </w:r>
    </w:p>
    <w:p>
      <w:r>
        <w:t>Pour le surplus, les développements du recourant s'épuisent en une longue et libre discussion quant aux raisons ayant conduit l'intimé à modifier la structure de C.________ SA, à vider cette société de sa substance en transférant notamment la marque " C.________ " à une société chypriote et à retarder l'aboutissement d'un accord en exigeant une clause de confidentialité. Il s'attarde dans ce contexte sur les usages prétendument en vigueur dans le commerce d'articles de luxe ainsi que sur les avantages de devenir actionnaire d'une société opérationnelle plutôt que d'une société holding. Le recourant ne parvient toutefois nullement à démontrer que l'appréciation des preuves effectuée par la cour cantonale serait empreinte d'arbitraire, sous l'angle du principe in dubio pro duriore , en particulier s'agissant de l'absence d'éléments susceptibles d'établir chez l'intimé ou B.________ une intention de tromper le recourant. A cet égard, l'intéressé ne conteste pas que les premiers versements étaient survenus alors que le recourant entretenait des liens d'amitié sincères avec B.________, qui était à la recherche d'investisseurs, souhaitant développer sa marque et distribuer ses montres sur le marché russe, projet auquel le recourant avait effectivement participé dans son intérêt. Il apparaît du reste que les pourparlers entre les parties s'étaient par la suite principalement heurtés à l'exigence par l'intimé d'une clause de confidentialité quant à la participation du recourant dans les activités de B.________, alors qu'aux yeux du recourant, une telle clause supprimait tout intérêt de sa part à participer à l'opération, dans la mesure où il entendait précisément arguer de sa qualité de copropriétaire d'une marque de prestige à des fins de marketing (cf. ordonnance de classement du 15 septembre 2015, p. 4). Or, dès lors qu'une clause de confidentialité figurait déjà dans le premier projet de convention de mars 2007 (cf. ordonnance de classement du 15 septembre 2015, p. 9), on ne saurait déduire que les dissensions au sujet du caractère secret de l'accord avaient été utilisées par l'intimé comme un prétexte fallacieux pour retarder la conclusion de l'accord. Il n'est de surcroît nullement établi que le recourant ait tenté, avant le mois de décembre 2007, de sécuriser ses investissements en exigeant par exemple de l'intimé ou de B.________ des garanties en vue d'un éventuel remboursement des montants versés au cas où aucun accord n'interviendrait. Il ressort au contraire de ses déclarations que, s'il avait certes admis bien s'entendre avec B.________, il avait en revanche affirmé que l'intimé le haïssait (cf. procès-verbal d'audition n° 3, p. 8 s.), ce qui devait à tout le moins éveiller une certaine méfiance chez le recourant. De telles circonstances auraient dû amener le recourant à prendre en considération les risques de voir l'accord sur sa participation ne pas aboutir et de rencontrer, le cas échéant, des difficultés à récupérer les montants investis au vu du manque de liquidités de l'entreprise, dont les activités étaient alors embryonnaires, et du montage financier relativement complexe mis en place par l'intimé. On ne voit à cet égard pas en quoi les affirmations du recourant selon lesquelles il ne pouvait pas faire " marche arrière " après avoir investi plus d'un million de francs le dispensaient de prendre des précautions s'agissant des montants qu'il continuait à verser. En s'abstenant de toute mesure en vue de se prémunir contre ces risques et en poursuivant malgré tout ses versements, le recourant a adopté un comportement qui dénote un manque de prudence dans la gestion de ses affaires et tend également à exclure qu'il puisse avoir été dupé par l'intimé.</w:t>
      </w:r>
    </w:p>
    <w:p>
      <w:r>
        <w:rPr>
          <w:b/>
        </w:rPr>
        <w:t>E. 3.6</w:t>
      </w:r>
    </w:p>
    <w:p>
      <w:r>
        <w:t>En définitive, la cour cantonale n'a pas violé le principe in dubio pro duriore en ordonnant le classement de la procédure pénale ouverte contre l'intimé.</w:t>
      </w:r>
    </w:p>
    <w:p>
      <w:r>
        <w:rPr>
          <w:b/>
        </w:rPr>
        <w:t>E. 4</w:t>
      </w:r>
    </w:p>
    <w:p>
      <w:r>
        <w:t>Le recourant invoque une violation du principe de célérité ( art. 5 CPP ). Il se plaint de carences dans la conduite de l'instruction, seules des mesures " sporadiques et éparpillées " ayant été effectuées entre janvier 2009 et mars 2011. En l'espèce, le recourant ne soutient pas avoir agi auprès du juge d'instruction, respectivement du ministère public, pour lui demander de faire diligence, pas plus qu'il se serait plaint d'un retard injustifié (cf. ATF 130 I 312 consid. 5.2 p. 332; arrêt 6B_556/2017 du 15 mars 2018 consid. 3.1). Il n'établit pas non plus en quoi il aurait encore un intérêt à faire constater un éventuel retard à statuer maintenant que l'ordonnance de classement a été rendue (cf. ATF 136 III 497 consid. 2.1 p. 500; arrêt 6B_161/2018 du 2 août 2018 consid. 5), les " motifs d'ordre psychologique " invoqués à cet égard n'étant nullement étayés. La critique est donc infondée dans la mesure où elle est recevable.</w:t>
      </w:r>
    </w:p>
    <w:p>
      <w:r>
        <w:rPr>
          <w:b/>
        </w:rPr>
        <w:t>E. 5</w:t>
      </w:r>
    </w:p>
    <w:p>
      <w:r>
        <w:t>Dénonçant encore une violation de l' art. 29a Cst. , le recourant se plaint de ne pas avoir eu accès au juge du fond, arguant que ses griefs ont " finalement échappé à l'enquête matérielle du juge ". Ses critiques se confondent toutefois avec celles qu'il a fait valoir en lien avec la violation du principe in dubio pro duriore , de sorte que le grief doit être rejeté.</w:t>
      </w:r>
    </w:p>
    <w:p>
      <w:r>
        <w:rPr>
          <w:b/>
        </w:rPr>
        <w:t>E. 6</w:t>
      </w:r>
    </w:p>
    <w:p>
      <w:r>
        <w:t>Enfin, en l'absence de violations constatées du principe de la célérité ou du droit d'être entendu du recourant, il n'y a pas matière à examiner la recevabilité de ses prétentions, non chiffrées, tendant à l'allocation d'une indemnité par le canton de Vaud en réparation de ces violations.</w:t>
      </w:r>
    </w:p>
    <w:p>
      <w:r>
        <w:rPr>
          <w:b/>
        </w:rPr>
        <w:t>E. 7</w:t>
      </w:r>
    </w:p>
    <w:p>
      <w:r>
        <w:t>Il s'ensuit que 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