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6B_1358/2020 vom 27. November 2020</w:t>
      </w:r>
    </w:p>
    <w:p>
      <w:r>
        <w:t>Bundesgericht, 2020-11-27, FR</w:t>
      </w:r>
    </w:p>
    <w:p>
      <w:r>
        <w:rPr>
          <w:b/>
        </w:rPr>
        <w:t xml:space="preserve">Quelle: </w:t>
      </w:r>
      <w:r>
        <w:t>https://mcp.opencaselaw.ch/entscheid/bger_6B_1358_2020</w:t>
      </w:r>
    </w:p>
    <w:p>
      <w:r>
        <w:t>FR: TF 6B_1358/2020 du 27 novembre 2020</w:t>
      </w:r>
    </w:p>
    <w:p>
      <w:r>
        <w:t>IT: TF 6B_1358/2020 del 27 novembre 2020</w:t>
      </w:r>
    </w:p>
    <w:p>
      <w:pPr>
        <w:pStyle w:val="Heading2"/>
      </w:pPr>
      <w:r>
        <w:t>Erwägungen</w:t>
      </w:r>
    </w:p>
    <w:p>
      <w:r>
        <w:rPr>
          <w:b/>
        </w:rPr>
        <w:t>E. 1</w:t>
      </w:r>
    </w:p>
    <w:p>
      <w:r>
        <w:t>Le recours contre une décision doit être déposé devant le Tribunal fédéral dans les 30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t>En l'espèce, la décision cantonale a été notifiée le 20 octobre 2020. Le délai a couru jusqu'au 19 novembre 2020. Daté du 24 novembre 2020 et envoyé par pli postal du 25 novembre 2020, le recours est tardif.</w:t>
      </w:r>
    </w:p>
    <w:p>
      <w:r>
        <w:t>Ce qui précède ne saurait être remis en cause par l'argumentation de la recourante. Cette dernière considère que le délai de recours aurait couru non pas dès le lendemain de la notification de l'arrêt attaqué, mais seulement après la "confirmation" de celui-ci le 26 octobre 2020. La recourante se réfère à cet égard à un courrier du Président de la Chambre des recours pénale du Tribunal cantonal vaudois, qui indiquait à l'intéressée que les décisions de cette autorité ne pouvaient être réexaminées ni commentées, que les actes de procédures devaient être déposés sous la forme écrite et être signés - de sorte qu'un simple courrier électronique ne pouvait être pris en considération -, avant de rappeler - en reproduisant l' art. 100 al. 1 LTF - que les décisions cantonales pouvaient faire l'objet d'un recours au Tribunal fédéral dans les 30 jours suivant leur notification. Un tel envoi, refusant de reconsidérer l'arrêt attaqué après réception d'un simple courrier électronique de la recourante, ne pouvait en aucune manière altérer le délai légal de recours au Tribunal fédéral s'agissant de la décision cantonale du 28 septembre 2020.</w:t>
      </w:r>
    </w:p>
    <w:p>
      <w:r>
        <w:t>L'irrecevabilité du recours est manifeste, ce qu'il convient de constater en application de l' art. 108 al. 1 let. a LTF .</w:t>
      </w:r>
    </w:p>
    <w:p>
      <w:r>
        <w:rPr>
          <w:b/>
        </w:rPr>
        <w:t>E. 2</w:t>
      </w:r>
    </w:p>
    <w:p>
      <w:r>
        <w:t>Le recours est irrecevable. Comme il était voué à l'échec, l'assistance judiciaire doit être refusée ( art. 64 al. 1 LTF ). La recourante, qui succombe, supporte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