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1357/2023 vom 15. April 2024</w:t>
      </w:r>
    </w:p>
    <w:p>
      <w:r>
        <w:t>Bundesgericht, 2024-04-15, DE</w:t>
      </w:r>
    </w:p>
    <w:p>
      <w:r>
        <w:rPr>
          <w:b/>
        </w:rPr>
        <w:t xml:space="preserve">Quelle: </w:t>
      </w:r>
      <w:r>
        <w:t>https://mcp.opencaselaw.ch/entscheid/bger_6B_1357_2023</w:t>
      </w:r>
    </w:p>
    <w:p>
      <w:r>
        <w:t>FR: TF 6B 1357/2023 du 15 avril 2024</w:t>
      </w:r>
    </w:p>
    <w:p>
      <w:r>
        <w:t>IT: TF 6B 1357/2023 del 15 aprile 2024</w:t>
      </w:r>
    </w:p>
    <w:p>
      <w:pPr>
        <w:pStyle w:val="Heading2"/>
      </w:pPr>
      <w:r>
        <w:t>Regeste</w:t>
      </w:r>
    </w:p>
    <w:p>
      <w:r>
        <w:t>Keine Berufungserklärung eingereicht | Strafprozess</w:t>
      </w:r>
    </w:p>
    <w:p>
      <w:pPr>
        <w:pStyle w:val="Heading2"/>
      </w:pPr>
      <w:r>
        <w:t>Erwägungen</w:t>
      </w:r>
    </w:p>
    <w:p>
      <w:r>
        <w:rPr>
          <w:b/>
        </w:rPr>
        <w:t>E. 1</w:t>
      </w:r>
    </w:p>
    <w:p>
      <w:r>
        <w:t>Das Kantonsgericht Freiburg, Strafappellationshof, schrieb das bei ihm hängige Verfahren mit Entscheid vom 6. November 2023 ohne Kostenfolge ab. Zwar habe der Beschwerdeführer am 23. Juni 2023 Berufung gegen das Urteil des Polizeirichters des Seebezirks vom 14. Juni 2023 angemeldet, indessen innerhalb der Frist von 20 Tagen seit Zustellung des begründeten Urteils des Polizeigerichts am 15. September 2023 nicht Berufung erklärt ( Art. 399 Abs. 3 StPO ). Mit Beschwerde in Strafsachen beantragt der Beschwerdeführer die Aufhebung des Entscheids. Er macht geltend, mit der Berufungsanmeldung vom 23. Juni 2023 gleichzeitig Berufung erklärt zu haben, zumal die Anmeldung der Berufung sämtliche gemäss Rechtsmittelbelehrung des begründeten Urteils erforderlichen Angaben enthalte, namentlich den Umfang der Anfechtung des erstinstanzlichen Urteils, die beantragten Abänderungen (Schuldsprüche in Freisprüche), die Beweisanträge, die Kostenregelung und die Entschädigungsfolgen.</w:t>
      </w:r>
    </w:p>
    <w:p>
      <w:r>
        <w:rPr>
          <w:b/>
        </w:rPr>
        <w:t>E. 2</w:t>
      </w:r>
    </w:p>
    <w:p>
      <w:r>
        <w:t>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Gesetzesregelung müssen die zur Berufung legitimierten und mit dem erstinstanzlichen Urteil nicht einverstandenen Parteien mithin in der Regel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140 IV 40 E. 3.4.1; BGE 138 IV 157 E. 2.1 und 2.2).</w:t>
      </w:r>
    </w:p>
    <w:p>
      <w:r>
        <w:rPr>
          <w:b/>
        </w:rPr>
        <w:t>E. 3</w:t>
      </w:r>
    </w:p>
    <w:p>
      <w:r>
        <w:t>Das Vorbringen des Beschwerdeführers dringt nicht durch. Dass die Berufungserklärung nicht zusammen mit der Anmeldung der Berufung beim erstinstanzlichen Gericht eingereicht werden kann, ergibt sich bereits aus dem für die Einlegung der Berufung in Art. 399 StPO geregelten zweistufigen Verfahren und damit einhergehend aus dem Umstand, dass die Erklärung der Berufung an einen begründeten Entscheid anknüpft ( BGE 140 IV 40 E. 3.4.2). Die Gerichte, einschliesslich das Bundesgericht, sind an die Gesetze gebunden ( Art. 190 BV ); mithin steht es ihnen nicht frei, von gesetzlich geregelten und an Fristen gebundenen Verfahrensabläufen abzusehen. Die erste Instanz hat den Beschwerdeführer nicht nur im Urteilsdispositiv, sondern abermals auch im vollständig begründeten Urteil mit einer auf die gesetzliche Regelung von Art. 399 StPO abgestützten, detaillierten und umissverständlichen Rechtsmittelbelehrung auf die Rechtslage hingewiesen. Der Beschwerdeführer hat sowohl das Urteilsdispositiv als auch das begründete Urteil in Empfang genommen. Dass er sich nicht an die ihm erteilte, eindeutige Belehrung gehalten und dem Kantonsgericht innert 20 Tagen seit Zustellung des begründeten Urteils eine Berufungserklärung eingereicht hat, muss er sich selber zuschreiben, zumal er auch nicht geltend macht bzw. gemacht hat, dass er unverschuldet nicht in der Lage gewesen sein soll, eine Berufungserklärung innert Frist einzureichen. Nach dem Gesagten ist die Beschwerde im Verfahren nach Art. 109 BGG abzuweisen.</w:t>
      </w:r>
    </w:p>
    <w:p>
      <w:r>
        <w:rPr>
          <w:b/>
        </w:rPr>
        <w:t>E. 4</w:t>
      </w:r>
    </w:p>
    <w:p>
      <w:r>
        <w:t>Ausgangsgemäss sind die Verfahrenskosten dem Beschwerdeführer aufzuerlegen. Der verhältnismässig geringe Aufwand ist bei der Bemessung der Gerichtskosten zu berücksichtigen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