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1357/2019 vom 6. Januar 2020</w:t>
      </w:r>
    </w:p>
    <w:p>
      <w:r>
        <w:t>Bundesgericht, 2020-01-06, DE</w:t>
      </w:r>
    </w:p>
    <w:p>
      <w:r>
        <w:rPr>
          <w:b/>
        </w:rPr>
        <w:t xml:space="preserve">Quelle: </w:t>
      </w:r>
      <w:r>
        <w:t>https://mcp.opencaselaw.ch/entscheid/bger_6B_1357_2019</w:t>
      </w:r>
    </w:p>
    <w:p>
      <w:r>
        <w:t>FR: TF 6B 1357/2019 du 6 janvier 2020</w:t>
      </w:r>
    </w:p>
    <w:p>
      <w:r>
        <w:t>IT: TF 6B 1357/2019 del 6 gennaio 2020</w:t>
      </w:r>
    </w:p>
    <w:p>
      <w:pPr>
        <w:pStyle w:val="Heading2"/>
      </w:pPr>
      <w:r>
        <w:t>Regeste</w:t>
      </w:r>
    </w:p>
    <w:p>
      <w:r>
        <w:t>Kostenerlass; Nichteintreten | Strafprozess</w:t>
      </w:r>
    </w:p>
    <w:p>
      <w:pPr>
        <w:pStyle w:val="Heading2"/>
      </w:pPr>
      <w:r>
        <w:t>Erwägungen</w:t>
      </w:r>
    </w:p>
    <w:p>
      <w:r>
        <w:rPr>
          <w:b/>
        </w:rPr>
        <w:t>E. 1</w:t>
      </w:r>
    </w:p>
    <w:p>
      <w:r>
        <w:t>Der Beschwerdeführer ersuchte am 7. Oktober 2019 um Erlass, eventualiter Stundung der ihm mit Beschlüssen des Obergerichts des Kantons Bern vom 17. August 2018 (BK 18 233), 19. Februar 2019 (BK 19 68), 15. März 2019 (BK 19 56+57), 14. November 2014 (BK 14 347) und 6. Juni 2014 (BK 14 183) auferlegten Verfahrenskosten. Die Vorinstanz wies das Gesuch mit Verfügung vom 16. Oktober 2019 ab. Der Beschwerdeführer wendet sich an das Bundesgericht. Er beantragt eine "deutliche Reduktion der unzulässig auferlegten Kosten", eventualiter eine Stundung oder Ratenzahlungen. Er ersucht weiter sinngemäss um Revision der Verfahren BK 19 68 und BK 19 231 MOR.</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Die Eingabe genügt den gesetzlichen Begründungsanforderungen nicht. Vor Bundesgericht kann es nur noch um die Frage gehen, ob die Vorinstanz das Gesuch um Erlass bzw. eventualiter Stundung zu Unrecht abgelehnt hat. Soweit der Beschwerdeführer in seiner Eingabe auf die Erwägungen der Vorinstanz, wenn überhaupt, am Rande eingeht, erschöpfen sich seine Ausführungen in einer rein appellatorischen Kritik an den vorinstanzlichen Sachverhaltsfeststellungen. Die blosse Behauptung, die Anträge hinreichend begründet zu haben, genügt nicht. Aus der Beschwerde ergibt sich nicht, inwieweit die angefochtene Verfügung gegen das Recht im Sinne von Art. 95 BGG verstossen könnte. Der Begründungsmangel ist offensichtlich. Auf die Beschwerde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