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6B_1354/2020 vom 1. Juni 2022</w:t>
      </w:r>
    </w:p>
    <w:p>
      <w:r>
        <w:t>Bundesgericht, 2022-06-01, FR</w:t>
      </w:r>
    </w:p>
    <w:p>
      <w:r>
        <w:rPr>
          <w:b/>
        </w:rPr>
        <w:t xml:space="preserve">Quelle: </w:t>
      </w:r>
      <w:r>
        <w:t>https://mcp.opencaselaw.ch/entscheid/bger_6B_1354_2020</w:t>
      </w:r>
    </w:p>
    <w:p>
      <w:r>
        <w:t>FR: TF 6B_1354/2020 du 1 juin 2022</w:t>
      </w:r>
    </w:p>
    <w:p>
      <w:r>
        <w:t>IT: TF 6B_1354/2020 del 1 giugno 2022</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t>En l'espèce, on recherche en vain dans le mémoire de recours tout grief d'arbitraire répondant aux exigences de motivation accrues précitées, le recourant n'invoquant expressément que la violation du droit fédéral. On peut dès lors se dispenser d'examiner plus avant les faits exposés en tête du mémoire de recours et les preuves offertes à leur appui, le procédé apparaissant appellatoire.</w:t>
      </w:r>
    </w:p>
    <w:p>
      <w:r>
        <w:rPr>
          <w:b/>
        </w:rPr>
        <w:t>E. 2</w:t>
      </w:r>
    </w:p>
    <w:p>
      <w:r>
        <w:t>Le recourant reproche à la cour cantonale d'avoir violé l' art. 138 CP . Selon lui, ni l'existence d'un dommage ni sa volonté de s'enrichir illégitimement ne seraient établis.</w:t>
      </w:r>
    </w:p>
    <w:p>
      <w:r>
        <w:rPr>
          <w:b/>
        </w:rPr>
        <w:t>E. 2.1</w:t>
      </w:r>
    </w:p>
    <w:p>
      <w:r>
        <w:t>Commet un abus de confiance au sens de l' art. 138 ch. 1 al. 2 CP , celui qui, sans droit, aura employé à son profit ou à celui d'un tiers des valeurs patrimoniales qui lui avaient été confiées. L'al.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cf. arrêt 6B_694/2019 du 11 juillet 2019 consid. 2.2). Bien que cet élément ne soit pas explicitement énoncé par l' art. 138 ch. 1 al. 2 CP , la disposition exige que le comportement adopté par l'auteur cause un dommage, qui représente élément constitutif objectif non écrit ( ATF 111 IV 19 consid. 5; v. parmi d'autres: arrêts 6B_291/2022 du 4 mai 2022 consid. 3.3.1; 6B_972/2018 du 20 novembre 2018 consid. 2.1).</w:t>
      </w:r>
    </w:p>
    <w:p>
      <w:r>
        <w:rPr>
          <w:b/>
        </w:rPr>
        <w:t>E. 2.1.1</w:t>
      </w:r>
    </w:p>
    <w:p>
      <w:r>
        <w:t>Pour répondre aux mêmes griefs, la cour cantonale a jugé, quant au préjudice, que la comptabilisation de la créance en réparation du dommage causé par l'infraction de B.________ SA (236'606 fr. 35) au débit du compte-courant actionnaire du recourant (présentant un solde total de 404'681 fr. 40) n'excluait pas la lésion du patrimoine de la personne morale. Elle a relevé que cette écriture n'avait pas rendu le procès sans objet, que la créance demeurait litigieuse, qu'en appel, le recourant en avait reconnu le principe mais non le montant et avait conclu à l'irrecevabilité des prétentions civiles, voire à leur renvoi devant la juridiction ordinaire. Au demeurant, la créance n'avait été portée au bilan que postérieurement à la commission de l'infraction et un dommage temporaire était suffisant pour constituer l'infraction (jugement sur appel, consid. 5.1.2.2).</w:t>
      </w:r>
    </w:p>
    <w:p>
      <w:r>
        <w:rPr>
          <w:b/>
        </w:rPr>
        <w:t>E. 2.1.2</w:t>
      </w:r>
    </w:p>
    <w:p>
      <w:r>
        <w:t>Le recourant objecte que la société n'aurait jamais fait valoir sa créance. Selon lui, la motivation fournie par la cour cantonale ne " démontre[rait] aucunement en quoi la société a subi un dommage ".</w:t>
      </w:r>
    </w:p>
    <w:p>
      <w:r>
        <w:t>Il suffit à cet égard de relever que le recourant conteste encore expressément, en procédure fédérale, le ch. 6 du dispositif du jugement sur appel qui le condamne à verser la somme de 236'606 fr. 30 plus intérêt à B.________ SA et a même conclu à la restitution de l'effet suspensif au motif qu'à défaut d'un tel effet il pourrait être contraint d'opérer ce versement. On ne saurait dès lors reprocher à la cour cantonale d'avoir tenu pour toujours litigieuse cette prétention de la société. Rien n'indique par ailleurs que l'intéressé, qui, après avoir quitté B.________ SA, ne disposait pas des liquidités nécessaires à la constitution des sociétés N.________ puis N.N.________ Sàrl, qui a admis avoir rencontré des difficultés pour recouvrer les créances de ces sociétés, toutes deux faillies, et qui se trouve en incapacité de travail depuis le 14 novembre 2012 et au bénéfice, depuis l'année suivante, de rentes d'invalidité (v.</w:t>
      </w:r>
    </w:p>
    <w:p>
      <w:r>
        <w:t>supra consid. B.a, B.b, B.b.a, B.b.b et B.b.f), aurait pu être en tout temps depuis 2005 et serait encore actuellement en mesure de s'acquitter à bref délai de sa dette. Il suffit dès lors de rappeler, comme la cour cantonale l'a fait à juste titre, qu'une mise en danger du patrimoine telle qu'elle a pour effet d'en diminuer la valeur du point de vue économique, respectivement un préjudice temporaire, suffisent à constituer le dommage exigé implicitement par l' art. 138 CP (v. ATF 129 IV 124 consid. 3.1; 121 IV 104 consid. 2c; arrêt 6B_645/2021 du 28 mars 2022 consid. 3.1).</w:t>
      </w:r>
    </w:p>
    <w:p>
      <w:r>
        <w:rPr>
          <w:b/>
        </w:rPr>
        <w:t>E. 2.2</w:t>
      </w:r>
    </w:p>
    <w:p>
      <w:r>
        <w:t>Quant à l'aspect subjectif, le recourant invoquait déjà en appel, pour démontrer sa volonté de rembourser et de ne pas s'enrichir, avoir approuvé, chaque année, les comptes de la société, dont son compte-courant actionnaire qui incluait la créance litigieuse. La cour cantonale lui a opposé qu'à compter de 2005, l'administrateur unique de B.________ SA n'avait plus convoqué d'assemblée générale, que le recourant avait lui-même exposé le 12 mai 2011 n'avoir, pour cette raison, ni approuvé les comptes ni donné décharge à l'administrateur depuis cette époque en raison de cette situation. Elle a, par ailleurs, relevé qu'au moment de la démission du recourant du conseil d'administration de la société anonyme, son compte-courant présentait un solde créditeur de 63'551 fr. et qu'il n'avait affiché un solde débiteur que dès le 20 décembre suivant, ce qui contredisait son affirmation selon laquelle il avait porté " la contre-valeur " de sa dette dans les comptes de la société, qu'il n'avait pas non plus approuvés depuis qu'ils incluaient la créance en dommages-intérêts à son encontre. La cour cantonale en a conclu qu'il avait agi avec conscience et volonté dans le but d'obtenir un avantage patrimonial indu.</w:t>
      </w:r>
    </w:p>
    <w:p>
      <w:r>
        <w:t>Le recourant objecte avoir agi " afin de pouvoir disposer des liquidités nécessaires au bon déroulement des chantiers en Valais ". Ce point relatif au contenu de la pensée relève du fait ( ATF 135 IV 152 consid. 2.3.2) et la décision cantonale ne retient rien de tel, mais bien que le recourant a notamment affecté 162'051 fr. à ses besoins personnels (jugement sur appel, consid. 5.1.1 p. 37 s.). Pour les motifs exposés ci-dessus, on peut se dispenser d'examiner plus avant cet argumentaire, qui n'est pas recevable dans le recours en matière pénale (v. supra consid. 1).</w:t>
      </w:r>
    </w:p>
    <w:p>
      <w:r>
        <w:rPr>
          <w:b/>
        </w:rPr>
        <w:t>E. 3</w:t>
      </w:r>
    </w:p>
    <w:p>
      <w:r>
        <w:t>Le recourant reproche ensuite à la cour cantonale d'avoir violé le droit fédéral en retenant la qualification d'escroquerie.</w:t>
      </w:r>
    </w:p>
    <w:p>
      <w:r>
        <w:rPr>
          <w:b/>
        </w:rPr>
        <w:t>E. 3.1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3.2</w:t>
      </w:r>
    </w:p>
    <w:p>
      <w:r>
        <w:t>Pour qu'il y ait escroquerie, une simple tromperie ne suffit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135 IV 76 consid. 5.2).</w:t>
      </w:r>
    </w:p>
    <w:p>
      <w:r>
        <w:rPr>
          <w:b/>
        </w:rPr>
        <w:t>E. 3.3</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 ATF 142 IV 153 consid. 2.2.2; 135 IV 76 consid. 5.2; 128 IV 18 consid. 3a).</w:t>
      </w:r>
    </w:p>
    <w:p>
      <w:r>
        <w:rPr>
          <w:b/>
        </w:rPr>
        <w:t>E. 3.4</w:t>
      </w:r>
    </w:p>
    <w:p>
      <w:r>
        <w:t>L'escroquerie n'est consommée que s'il y a un dommage (arrêt 6B_139/2016 du 21 novembre 2016 consid. 3.1 et les références citées). Cette notion est identique à celle évoquée précédemment en relation avec l'abus de confiance (v. p. ex.: arrêts 6B_645/2021 du 28 mars 2022 consid. 3.1; 6B_139/2016 du 21 novembre 2016 consid. 3.1 et les références citées); on renvoie à ce qui a été exposé dans ce contexte (v.</w:t>
      </w:r>
    </w:p>
    <w:p>
      <w:r>
        <w:t>supra consid. 2.1.2).</w:t>
      </w:r>
    </w:p>
    <w:p>
      <w:r>
        <w:rPr>
          <w:b/>
        </w:rPr>
        <w:t>E. 3.5</w:t>
      </w:r>
    </w:p>
    <w:p>
      <w:r>
        <w:t>Sur le plan subjectif, l'escroquerie est une infraction intentionnelle, l'intention devant porter sur tous les éléments constitutifs. L'auteur doit en outre avoir agi dans le dessein de se procurer ou de procurer à un tiers un enrichissement illégitime, correspondant au dommage de la dupe ( ATF 134 IV 210 consid. 5.3).</w:t>
      </w:r>
    </w:p>
    <w:p>
      <w:r>
        <w:rPr>
          <w:b/>
        </w:rPr>
        <w:t>E. 3.6</w:t>
      </w:r>
    </w:p>
    <w:p>
      <w:r>
        <w:t>La cour cantonale a jugé que le comportement du recourant consistant à affirmer faussement au fournisseur de matériaux passer commande pour le chantier d'une villa, dont P.________ (qui entretenait un rapport de confiance avec le fournisseur) était l'adjudicataire, afin de profiter du compte-client ouvert par celui-ci à celui-là, constituait une tromperie. Elle a également retenu que le recourant, selon ses propres explications, avait donné de fausses informations pour obtenir du matériel à bon prix, soit un avantage économique auquel il ne pouvait pas prétendre. La tromperie ne pouvait être déjouée avec le minimum d'attention ou de prudence. La cour cantonale a relevé que le recourant effectuait bien d'autres travaux de plâtrerie sur le chantier de la villa en question en qualité de sous-traitant, que les matériaux commandés à l'entreprise Q.________ SA pouvaient correspondre à la rénovation ou à la construction d'un appartement telle l'habitation objet du chantier dirigé par P.________ et que les employés du fournisseur n'avaient dès lors aucun motif de vérifier l'exactitude des informations données par le recourant (jugement sur rappel, consid. 6.2 p. 43 s.).</w:t>
      </w:r>
    </w:p>
    <w:p>
      <w:r>
        <w:t>Le recourant, soulignant avoir agi à six reprises, objecte que cette même entreprise avait, à la même époque, refusé de lui ouvrir un compte-client. Il en déduit qu'on aurait pu attendre d'elle qu'elle prenne de plus amples précautions, par exemple en demandant à P.________ de confirmer la commande.</w:t>
      </w:r>
    </w:p>
    <w:p>
      <w:r>
        <w:rPr>
          <w:b/>
        </w:rPr>
        <w:t>E. 3.7</w:t>
      </w:r>
    </w:p>
    <w:p>
      <w:r>
        <w:t>La décision querellée constate, en fait, que le refus d'ouvrir un compte-client en faveur du recourant résultait des renseignements obtenus de l'office des poursuites et faillites par le fournisseur et que celui-ci entendait, dès lors, obtenir le paiement immédiat de la marchandise livrée (v.</w:t>
      </w:r>
    </w:p>
    <w:p>
      <w:r>
        <w:t>supra consid. B.c.a). Que le fournisseur ait eu des motifs d'exiger un paiement comptant (soit de refuser l'avantage économique d'un paiement à terme sur facture) en raison d'informations sur la situation économique peu favorable de l'entreprise du recourant ne signifie pas encore que ce fournisseur, aurait, à cette époque déjà, eu des raisons de douter de la probité du recourant et de subodorer un comportement malhonnête. Les développements du recourant, qui n'expose pas ce qui aurait pu conduire son partenaire commercial à nourrir de tels soupçons, ne démontrent dès lors pas que l'on se trouverait dans une situation exceptionnelle justifiant d'opposer à la dupe sa co-responsabilité.</w:t>
      </w:r>
    </w:p>
    <w:p>
      <w:r>
        <w:rPr>
          <w:b/>
        </w:rPr>
        <w:t>E. 3.8</w:t>
      </w:r>
    </w:p>
    <w:p>
      <w:r>
        <w:t>Pour le surplus, en tant que le recourant conteste tout dommage en objectant s'être acquitté de la facture en cause, il convient de rappeler que ce paiement n'est intervenu qu'en cours d'instruction, vraisemblablement en juin 2008 (v.</w:t>
      </w:r>
    </w:p>
    <w:p>
      <w:r>
        <w:t>supra consid. B.c.b</w:t>
      </w:r>
    </w:p>
    <w:p>
      <w:r>
        <w:t>in fine ) soit un peu moins d'une année après les faits. Quant à ceux-ci, survenus aux mois d'août/septembre 2007, ils se sont déroulés alors que la faillite de N.________ Sàrl avait été prononcée, puis confirmée sur recours, depuis peu soit respectivement les 17 avril et 11 juillet 2007, cependant que N.N.________ Sàrl n'avait pu être constituée, le 20 juillet 2007, que grâce à deux prêts totalisant 20'000 fr., sa faillite ayant été prononcée le 14 mars 2008 et confirmée sur recours le 14 juillet 2009 et que le recourant a admis avoir rencontré des difficultés dans le recouvrement des créances de ces sociétés (v. supra consid. B.b.a, B.b.b et B.b.f). Il suffit dès lors de renvoyer à ce qui a été exposé précédemment à propos du dommage temporaire et de la mise en danger du patrimoine (v.</w:t>
      </w:r>
    </w:p>
    <w:p>
      <w:r>
        <w:t>supra consid. 2.1.2</w:t>
      </w:r>
    </w:p>
    <w:p>
      <w:r>
        <w:t>in fine et consid. 3.4).</w:t>
      </w:r>
    </w:p>
    <w:p>
      <w:r>
        <w:rPr>
          <w:b/>
        </w:rPr>
        <w:t>E. 3.9</w:t>
      </w:r>
    </w:p>
    <w:p>
      <w:r>
        <w:t>Pour le surplus, le recourant conteste toute intention de s'enrichir illégitimement en opposant, sous cet angle également, avoir en définitive payé la facture.</w:t>
      </w:r>
    </w:p>
    <w:p>
      <w:r>
        <w:t>La cour cantonale a retenu que le recourant avait agi avec conscience et volonté en relevant qu'il avait notamment déclaré avoir donné de fausses informations pour obtenir du matériel à bon prix auprès du fournisseur et qu'il avait agi ainsi afin d'obtenir un avantage économique auquel il ne pouvait pas prétendre. En l'absence de toute critique sous l'angle de l'arbitraire, la discussion proposée par le recourant, au mieux appellatoire, est irrecevable en tant qu'il remet en question la constatation du contenu de sa pensée (v. supra consid. 2.2). Le recourant perd également de vue que si l'escroquerie suppose, au plan subjectif, un dessein d'enrichissement illégitime, l'infraction est consommée avant même tout enrichissement, dont la réalisation ne constitue donc pas un élément objectif de l'infraction ( ATF 119 IV 210 consid. 4b; arrêts 6B_653/2021 du 10 février 2022 consid. 1.5.3; 6B_42/2009 du 20 mars 2009 consid. 7.3.1).</w:t>
      </w:r>
    </w:p>
    <w:p>
      <w:r>
        <w:rPr>
          <w:b/>
        </w:rPr>
        <w:t>E. 4</w:t>
      </w:r>
    </w:p>
    <w:p>
      <w:r>
        <w:t>Le recourant conteste enfin la quotité de la peine prononcée, d'une part, en lien avec les acquittements auxquels il conclut dans son recours en matière pénale. Il suffit, à cet égard, de renvoyer à ce qui vient d'être exposé. Il estime, d'autre part, que la violation du principe de célérité permettrait de l'exempter de toute peine compte tenu de la durée de l'instruction (15 ans).</w:t>
      </w:r>
    </w:p>
    <w:p>
      <w:r>
        <w:rPr>
          <w:b/>
        </w:rPr>
        <w:t>E. 4.1</w:t>
      </w:r>
    </w:p>
    <w:p>
      <w:r>
        <w:t>La cour cantonale a relevé la multiplicité des complexes de faits objets de la procédure, qui portaient sur une longue période. Elle a souligné que ces faits touchaient différentes parties plaignantes et avaient nécessité une analyse juridique approfondie. Elle a jugé qu'une réduction de 3/5 de la peine de 30 mois de privation de liberté entrant en considération s'imposait eu égard à l'ensemble des circonstances (jugement sur appel, consid. 8.2.4 p. 50).</w:t>
      </w:r>
    </w:p>
    <w:p>
      <w:r>
        <w:rPr>
          <w:b/>
        </w:rPr>
        <w:t>E. 4.2</w:t>
      </w:r>
    </w:p>
    <w:p>
      <w:r>
        <w:t>Le recourant n'invoque d'aucune manière que la motivation de la décision cantonale, qui renvoie au jugement de première instance, ne permettrait pas de comprendre comment sa peine a été fixée, spécifiquement en relation avec la violation du principe de célérité.</w:t>
      </w:r>
    </w:p>
    <w:p>
      <w:r>
        <w:rPr>
          <w:b/>
        </w:rPr>
        <w:t>E. 4.3</w:t>
      </w:r>
    </w:p>
    <w:p>
      <w:r>
        <w:t>On comprend de la brève motivation de la cour cantonale qu'elle a tenu compte de la complexité du cas tant en fait qu'en droit, des intérêts des lésés et de la gravité des infractions. Toutes ces circonstances sont pertinentes (cf. ATF 117 IV 124 consid. 4e; arrêts 6B_1476/2020 précité consid. 2.1; 6B_790/2017 du 18 décembre 2017 consid. 2.3.2) et le recourant n'invoque pas qu'une autre circonstance topique aurait été ignorée à tort. En tant qu'il souligne que l'instruction a duré 15 ans, il sied de relever que si la procédure a été ouverte au mois de novembre 2005 ensuite d'une dénonciation déposée par B.________ SA à fin février de la même année, le recourant a poursuivi ses agissements délictuels jusqu'en 2012 et la dénonciation de R.________ SA n'a même été formulée qu'au mois de mai de l'année suivante (jugement sur appel, consid. A.a p. 2). Il s'ensuit que la circonstance que 15 années se sont écoulées entre l'ouverture de l'instruction pour les faits les plus anciens et le jugement en appel de l'ensemble des infractions n'est pas à elle seule déterminante, le recourant devant se laisser opposer que son propre comportement pénalement répréhensible n'est pas étranger à cette durée particulièrement longue. L'unique circonstance alléguée par le recourant ne démontre dès lors pas que l'importante réduction opérée par la cour cantonale pour tenir compte de la violation du principe de célérité constatée procéderait d'un abus ou d'un excès du large pouvoir d'appréciation dont elle disposait pour statuer sur cette question ( ATF 143 IV 373 consid. 1.4.1; arrêts 6B_1476/2020 du 28 octobre 2021 consid. 2.1; 6B_660/2016 du 23 novembre 2016 consid. 1.2.4).</w:t>
      </w:r>
    </w:p>
    <w:p>
      <w:r>
        <w:rPr>
          <w:b/>
        </w:rPr>
        <w:t>E. 5</w:t>
      </w:r>
    </w:p>
    <w:p>
      <w:r>
        <w:t>Au vu de ce qui précède, le recours doit être rejeté dans la mesure où il est recevable. Le recourant supporte les frais de la procédure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