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6B_1353/2019 vom 23. September 2020</w:t>
      </w:r>
    </w:p>
    <w:p>
      <w:r>
        <w:t>Bundesgericht, 2020-09-23, DE</w:t>
      </w:r>
    </w:p>
    <w:p>
      <w:r>
        <w:rPr>
          <w:b/>
        </w:rPr>
        <w:t xml:space="preserve">Quelle: </w:t>
      </w:r>
      <w:r>
        <w:t>https://mcp.opencaselaw.ch/entscheid/bger_6B_1353_2019</w:t>
      </w:r>
    </w:p>
    <w:p>
      <w:r>
        <w:t>FR: TF 6B_1353/2019 du 23 septembre 2020</w:t>
      </w:r>
    </w:p>
    <w:p>
      <w:r>
        <w:t>IT: TF 6B_1353/2019 del 23 settembre 2020</w:t>
      </w:r>
    </w:p>
    <w:p>
      <w:pPr>
        <w:pStyle w:val="Heading2"/>
      </w:pPr>
      <w:r>
        <w:t>Erwägungen</w:t>
      </w:r>
    </w:p>
    <w:p>
      <w:r>
        <w:rPr>
          <w:b/>
        </w:rPr>
        <w:t>E. 1</w:t>
      </w:r>
    </w:p>
    <w:p>
      <w:r>
        <w:t>Der Rechtsvertreter der Beschwerdeführer führt die Beschwerde im Namen von insgesamt 102 Geschädigten. Mit Verfügungen vom 27. November 2019 und vom 16. Januar 2020 wurde er im Auftrag des Präsidenten der Strafrechtlichen Abteilung aufgefordert, die entsprechenden Vollmachten einzureichen. Mit Verfügung vom 22. Januar 2020 wurde ihm Frist zur Einreichung der Vollmachten angesetzt, verbunden mit der Androhung, dass im Säumnisfall auf die Beschwerde nicht eingetreten werde. In der Folge ist der Rechtsvertreter in Bezug auf 22 Geschädigte dieser Aufforderung innert Frist nicht nachgekommen. Insoweit kann daher in Anwendung von Art. 42 Abs. 5 BGG androhungsgemäss auf die Beschwerde nicht eingetreten werden.</w:t>
      </w:r>
    </w:p>
    <w:p>
      <w:r>
        <w:t>Im Weiteren ergibt sich, dass mehrere Beschwerdeführer im Zeitpunkt der Beschwerdeerhebung bereits verstorben waren und die eingereichten Vollmachten von deren Erben erst nach Einreichung der Beschwerde unterzeichnet worden sind. Gemäss Art. 81 Abs. 1 BGG ist zur Beschwerde in Strafsachen berechtigt, wer vor der Vorinstanz am Verfahren teilgenommen hat oder keine Möglichkeit zur Teilnahme erhalten hat (lit. a) und wer ein rechtlich geschütztes Interesse an der Aufhebung oder Änderung des angefochtenen Entscheids hat (lit. b). Die Legitimation zur Beschwerde ans Bundesgericht muss bei Einreichung der Beschwerde gegeben sein ( BGE 139 I 206 E. 1.1). Soweit die Beschwerdeführer bei der Beschwerdeerhebung bereits verstorben waren, ist deren Beschwerdeberechtigung offensichtlich nicht gegeben. Damit kann auch in Bezug auf diese Beschwerdeführer auf die Beschwerde nicht eingetreten werden. Dasselbe gilt in Bezug auf den Beschwerdeführer F.________, der am 19. September 2018, mithin vor Eröffnung des angefochtenen Entscheids sowie vor der Konkurseröffnung vom 4. Dezember 2018 und damit ebenfalls vor der Beschwerdeerhebung verstorben ist.</w:t>
      </w:r>
    </w:p>
    <w:p>
      <w:r>
        <w:t>In Bezug auf die übrigen Beschwerdeführer ist auf die Beschwerde einzutreten. Der Entscheid über Zuweisung der Ersatzforderung an die Geschädigten nach Art. 73 StGB ist ein Entscheid in Strafsachen gemäss Art. 78 Abs. 1 BGG (Urteil 6B_906/2010 vom 31. Januar 2011 E. 1.1 mit Hinweisen).</w:t>
      </w:r>
    </w:p>
    <w:p>
      <w:r>
        <w:rPr>
          <w:b/>
        </w:rPr>
        <w:t>E. 2.1</w:t>
      </w:r>
    </w:p>
    <w:p>
      <w:r>
        <w:t>Die Beschwerdeführer rügen, die Vorinstanz habe den Sachverhalt willkürlich verkürzt. Der massgebliche Sachverhalt ergebe sich nicht nur aus dem Urteil gegen den früheren Direktor der C.________ AG B.________ und deren damaliger Prokuristin D.________, sondern auch aus dem Strafurteil gegen die Protagonisten der Nachfolgegesellschaften G.________ AG und H.________ AG. In beiden Fällen seien die juristischen Personen, welche gegen aussen aufgetreten seien, austauschbar gewesen und in beiden Fällen hätten die Täter als wechselnde Strohleute des vor Eröffnung des Strafverfahrens in sein Heimatland geflüchteten Haupttäters I.________ gehandelt. Der Kanton Zug habe in der Folge trotz identischer Sachverhalte mit denselben Geschädigten und demselben Haupttäter in derselben Sache zwei Strafverfahren geführt. Nachdem das Strafverfahren gegen B.________ und D.________ angelaufen sei, hätten die Täter vor Sperrung der Konten alle Vermögenswerte der C.________ AG ohne Rechtstitel auf die Nachfolgeorganisation G.________ AG übertragen. Erst nachdem auch gegen die Verantwortlichen dieser Gesellschaft ein Strafverfahren eröffnet worden sei, seien auf mehreren in- und ausländischen Konten grössere Millionenbeträge beschlagnahmt worden. Da die Geschädigten in beiden Fällen nach demselben Muster um sogenannte Margendeckungen für angebliche Devisentransaktionen betrogen worden seien, habe es die Anklagebehörde dem Strafgericht im ersten Prozess gegen B.________ und D.________ überlassen, über sämtliche beschlagnahmten Gelder in der Höhe von CHF 17 Mio. zu befinden. Die Gelder der verschiedenen Phasen seien mithin vermengt worden und müssten als ein Ganzes beurteilt werden. Dies habe das Strafgericht auch so gehandhabt, indem es sämtliche beschlagnahmten Gelder in einem einzigen Verteilverfahren und ohne Zuordnung zu einer bestimmten Phase der Konkursverwaltung überlassen habe, welche denn auch zum Schluss gelangt sei, dass an der Verteilung alle Geschädigten partizipieren sollten. Daraus ergebe sich, dass auch die Verwendung der beschlagnahmten Gelder zugunsten der Geschädigten hätte einheitlich betrachtet werden müssen. Das Obergericht des Kantons Zug habe seinerzeit die Ersatzforderung im Konkursverfahren im Wissen darum eingegeben, dass die Konkursverwaltung die Verteilung unbesehen der formell vorgeschobenen verschiedenen Gesellschaften unter allen Geschädigten des gesamten Betrugskonglomerats vornehmen werde. Der Vorinstanz habe somit klar sein müssen, dass die beschlagnahmten Vermögenswerte allen Geschädigten, unabhängig von der formellen Zuweisung in ein bestimmtes Strafverfahren, zugestanden hätten. Soweit die Vorinstanz nunmehr rein formalistisch auf die zufällig im ersten Strafverfahren angeklagten Personen fokussiere, handle sie widersprüchlich (Beschwerde S. 2 ff.).</w:t>
      </w:r>
    </w:p>
    <w:p>
      <w:r>
        <w:rPr>
          <w:b/>
        </w:rPr>
        <w:t>E. 2.2</w:t>
      </w:r>
    </w:p>
    <w:p>
      <w:r>
        <w:t>Die Vorinstanz nimmt an, Parteien im vorliegenden selbstständigen Verfahren seien diejenigen geschädigten Personen, welche einen gegen den Täter gerichteten und aus der fraglichen Straftat herrührenden Schadenersatzanspruch geltend machen könnten. Anspruchsberechtigt seien somit auch die als "G.________- bzw. H.________-Kunden" bekannten Beschwerdeführer gewesen. Der überwiegende Teil der Einzahlungen von "G.________- bzw. H.________-Kunden" sei erst in der Zweitphase erfolgt. Das Urteil des Obergerichts des Kantons Zug vom 19. September 2005, in dem die C.________ AG zur Zahlung einer Ersatzforderung von CHF 4'122'000.-- an den Staat verpflichtet worden sei, habe indes allein die Erstphase betroffen, bezüglich welcher die Schuldsprüche betreffend D.________ und B.________ erfolgt seien. Demgegenüber sei die Beurteilung der Zweitphase gegen die Verantwortlichen der G.________ AG und der H.________ AG, aus welcher die Beschwerdeführer ihre Ansprüche ableiteten, erst zu einem späteren Zeitpunkt erfolgt. Das Strafgericht habe sich daher zu Recht auf den Standpunkt gestellt, dass es zwischen den Straftaten in der Zweitphase und der Ersatzforderung am erforderlichen Konnex fehle. Die geltend gemachten Ansprüche der Beschwerdeführer erfüllten daher das Kriterium der Identität der Parteien nicht, da sich der Strafprozess, in welchem das Obergericht die C.________ AG zur Zahlung einer Ersatzforderung verpflichtet habe, gegen B.________ und D.________ als verantwortliche Personen gerichtet habe, während das Verfahren der Zweitphase die Verantwortlichen der G.________ AG und der H.________ AG betroffen habe. Die materiellen Voraussetzungen von Art. 73 StGB seien daher nicht erfüllt (angefochtenes Urteil S. 8 ff.).</w:t>
      </w:r>
    </w:p>
    <w:p>
      <w:r>
        <w:rPr>
          <w:b/>
        </w:rPr>
        <w:t>E. 3.1</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140 III 86 E. 2 und 115 E. 2; 134 II 244 E. 2.1).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146 IV 114 E. 2.1; 141 IV 369 E. 6.3; 1; je mit Hinweisen).</w:t>
      </w:r>
    </w:p>
    <w:p>
      <w:r>
        <w:rPr>
          <w:b/>
        </w:rPr>
        <w:t>E. 3.2</w:t>
      </w:r>
    </w:p>
    <w:p>
      <w:r>
        <w:t>Gemäss Art. 73 Abs. 1 lit. c StGB spricht das Gericht der geschädigten Person, die durch ein Verbrechen oder Vergehen einen Schaden erleidet, welcher nicht durch eine Versicherung gedeckt ist, auf dessen Verlangen bis zur Höhe des Schadenersatzes bzw. der Genugtuung, die gerichtlich oder durch Vergleich festgesetzt wurden, u.a. die Ersatzforderungen zu, wenn anzunehmen ist, dass der Täter den Schaden nicht ersetzen oder eine Genugtuung nicht leisten wird. Dabei hat der Staat die Ersatzforderung einzutreiben und der geschädigten Person den Verwertungserlös auszurichten (MARC THOMMEN, in: Jürg-Beat Ackermann [Hrsg.], Kommentar Kriminelles Vermögen - Kriminelle Organisationen, Bd. I, 2018, N. 108 zu Art. 73 StGB ). Gemäss Art. 73 Abs. 2 StGB kann das Gericht die Verwendung zu Gunsten der geschädigten Person jedoch nur anordnen, wenn letzterer den entsprechenden Teil seiner Forderung an den Staat abtritt. Die Bestimmung bezweckt, dem Geschädigten bei der Durchsetzung seiner Schadenersatzforderung zu helfen, indem der Staat auf einen ihm zustehenden Anspruch verzichtet (Urteil 6S.709/2000 vom 26. Mai 2003 E. 7.1 mit Hinweis; vgl. auch FLORIAN BAUMANN, in: Basler Kommentar, Strafrecht I, 4. Aufl. 2019, N. 3 f. zu Art. 73).</w:t>
      </w:r>
    </w:p>
    <w:p>
      <w:r>
        <w:t>Die Zuweisung nach Art. 73 StGB setzt u.a. voraus, dass der Schadenersatz bzw. die Genugtuung in einem Straf- oder Zivilverfahren rechtskräftig zugesprochen oder durch Vergleich festgesetzt worden ist. Die geschädigte Person muss mithin einen vollstreckbaren Forderungstitel bzw. einen definitiven Rechtsöffnungstitel in Händen halten (Urteile 6B_474/2018 vom 17. Dezember 2018 E. 3; 6B_906/2010 vom 31. Januar 2011 E. 2.3.2; je mit Hinweisen; THOMMEN, a.a.O., N. 60 zu Art. 73 StGB ; FELIX BOMMER, Offensive Verletztenrechte im Strafprozess, 2006, S. 117; vgl. auch RETO WEILENMANN, Drittgeschädigte Personen im Strafverfahren, 2020, Rz. 556 ff.). Aus Art. 73 StGB ergibt sich kein Auftrag des Staates, für den Schadensausgleich der geschädigten Person zu sorgen. Die Bestimmung unterwirft ihre Anwendung vielmehr der Disposition der geschädigten Person, die zudem selber dafür besorgt sein muss, einen Rechtsöffnungstitel zu erlangen (vgl. MARC JEAN-RICHARD-DIT-BRESSEL, Konkursprivileg durch Strafrecht, ZZZ 2017/2018, S. 79 f.; vgl. auch WEILENMANN, a.a.O., Rz. 544 ff.). Bei einem Zivilurteil kann die Zuweisung indes nur erfolgen, wenn Identität zwischen dem Gegenstand des Zivil- und des Strafprozesses gegeben ist (NIKLAUS SCHMID, Kommentar Einziehung, organisiertes Verbrechen und Geldwäscherei, Bd. I, 2. Aufl. 2007, N. 56 zu Art. 73 StGB ).</w:t>
      </w:r>
    </w:p>
    <w:p>
      <w:r>
        <w:rPr>
          <w:b/>
        </w:rPr>
        <w:t>E. 4.1</w:t>
      </w:r>
    </w:p>
    <w:p>
      <w:r>
        <w:t>Die Beschwerdeführer haben im gerichtlichen Hauptverfahren und im Rahmen des Nachverfahrens vor dem erstinstanzlichen Strafgericht die Zuweisung der eingezogenen Vermögenswerte und Ersatzforderungen bis zur Höhe ihrer Forderungen im Sinne von Art. 73 StGB beantragt.</w:t>
      </w:r>
    </w:p>
    <w:p>
      <w:r>
        <w:t>Das Strafgericht des Kantons Zug hat mit Urteil vom 15. März 2004 sämtliche Zivilklagen der Geschädigten auf den Zivilweg verwiesen. Die hingegen von den Geschädigten erhobenen Beschwerden sind sowohl vom Obergericht des Kantons Zug als auch vom Bundesgericht abgewiesen worden. Damit ist, wie die kantonalen Instanzen zu Recht erkannt haben, im Strafverfahren keine Beurteilung der Zivilforderungen erfolgt und den Geschädigten adhäsionsweise kein Schadenersatz zugesprochen worden. Der am Bezirksgericht Zürich hängige Schadenersatzprozess ist, wie die Beschwerdeführer selber vorbringen (vgl. Subeventualbegehren), noch nicht abgeschlossen und zur Zeit sistiert. Die Zivilforderungen der Beschwerdeführer waren mithin im Zeitpunkt des Zuweisungsentscheides weder gerichtlich noch durch einen Vergleich festgesetzt. Dementsprechend verfügen die Beschwerdeführer auch nicht über einen vollstreckbaren Forderungstitel im Sinne von Art. 73 StGB . Das angefochtene Urteil verletzt daher kein Bundesrecht, wenn es die Abweisung des Antrags auf Verwendung der Ersatzforderung zu Gunsten der Beschwerdeführer bestätigt hat. An dieser Sachlage hat sich auch im selbstständigen nachträglichen Nachverfahren gemäss Art. 363 ff. StPO nichts geändert.</w:t>
      </w:r>
    </w:p>
    <w:p>
      <w:r>
        <w:t>Die Beschwerdeführer setzen sich mit diesen Erwägungen nicht auseinander. Sie beschränken sich vielmehr auf die Rüge, der dem Verfahren zugrunde liegende wirtschaftskriminelle Sachverhalt sei als Einheit zu würdigen und die Aufteilung desselben entsprechend den gegen die verschiedenen Beteiligten geführten Strafverfahren in zwei unterschiedliche Phasen sei willkürlich (Beschwerde S. 7, 9). Die Beschwerdeführer wenden sich insofern im Ergebnis lediglich gegen die Begründung des vorinstanzlichen Entscheids, durch welche sie nicht beschwert sind (Urteil 6B_155/2014 vom 21. Juli 2014 E. 1.1; NIKLAUS OBERHOLZER, in: Seiler/von Werdt/Güngerich/Oberholzer, Bundesgerichtsgesetz, 2. Aufl. 2015, N. 9 zu Art. 81).</w:t>
      </w:r>
    </w:p>
    <w:p>
      <w:r>
        <w:rPr>
          <w:b/>
        </w:rPr>
        <w:t>E. 4.2</w:t>
      </w:r>
    </w:p>
    <w:p>
      <w:r>
        <w:t>Im Weiteren mag zutreffen, dass die Forderungen aller Geschädigten im Konkursverfahren i.S. C.________ AG kolloziert und die Beschwerdeführer als Gläubiger in die von der ausserordentlichen Konkursverwaltung erstellte Verteilliste vom 14. September 2016 aufgenommen worden sind. Doch nehmen die kantonalen Instanzen zu Recht an, weder die definitive Zulassung einer Forderung im Konkursverfahren i.S. C.________ AG noch ein Verlustschein stellten einen vollstreckbaren Forderungstitel im Sinne von Art. 73 StGB dar, zumal damit kein materiell-rechtlicher Anspruch gegen den Gemeinschuldner festgelegt sei (angefochtenes Urteil S. 9; erstinstanzlicher Beschluss S. 20; vgl. BGE 141 III 382 E. 3.5 zum Kollokationsplan). Daran ändert nichts, dass der Konkursverlustschein gemäss Art 265 Abs. 1 SchKG als provisorischer Rechtsöffnungstitel gilt ( Art. 82 SchKG ), zumal die Verlustscheine keine Anerkennungserklärung der Gemeinschuldnerin enthalten (erstinstanzlicher Beschluss S. 21). Im Übrigen weisen die kantonalen Instanzen zu Recht darauf hin, dass die Zuweisung an die Geschädigten nur im Zusammenhang mit dem sachgerichtlich festgestellten, strafrechtlich relevanten Sachverhalt erfolgen kann. Die erste Instanz führt insofern zutreffend aus, zwischen dem strafrechtlich relevanten Schaden und der Höhe des kollozierten Anspruchs aus Vertrag bestehe keine Identität. Denn die urteilenden Strafgerichte hätten den Schaden im Wesentlichen nur in den den Kunden verheimlichten Kick-back-Zahlungen erblickt, während die Konkursverwaltung im Konkurs i.S. C.________ AG die von den Gläubigern angemeldeten Forderungen auf der Grundlage eines Auftragsverhältnisses kolloziert habe (erstinstanzlicher Beschluss S. 21 f.). Ansprüche aus Vertrag werden von Art. 73 StGB nur erfasst, wenn die Vertragsverletzung zugleich eine deliktsrechtliche Widerrechtlichkeit darstellt (THOMMEN, a.a.O., N. 40 zu Art. 73 StGB ). Soweit die Konkursverwaltung die Forderungen auch auf der Grundlage von Art. 41 OR anerkannt hat, geht sie im Gegensatz zum Strafgericht davon aus, dass das gesamte "C.________ AG-Konstrukt" ein kriminelles Gebilde gewesen sei (erstinstanzlicher Beschluss S. 23). Die kantonalen Instanzen verletzten mithin kein Bundesrecht, wenn sie annehmen, dass insofern keine Identität zwischen dem Vollstreckungsverfahren einerseits und dem Strafverfahren andererseits besteht.</w:t>
      </w:r>
    </w:p>
    <w:p>
      <w:r>
        <w:t>Die Beschwerde erweist sich in diesem Punkt als unbegründet, soweit sie den Begründungsanforderungen überhaupt genügt.</w:t>
      </w:r>
    </w:p>
    <w:p>
      <w:r>
        <w:rPr>
          <w:b/>
        </w:rPr>
        <w:t>E. 5.1</w:t>
      </w:r>
    </w:p>
    <w:p>
      <w:r>
        <w:t>Die Beschwerdeführer rügen im Weiteren sinngemäss eine Verletzung des rechtlichen Gehörs, weil der Antrag auf Einvernahme des im Strafverfahren handelnden Untersuchungsrichters abgewiesen worden ist (Beschwerde S. 5 f., 12).</w:t>
      </w:r>
    </w:p>
    <w:p>
      <w:r>
        <w:rPr>
          <w:b/>
        </w:rPr>
        <w:t>E. 5.2</w:t>
      </w:r>
    </w:p>
    <w:p>
      <w:r>
        <w:t>Die Vorinstanz nimmt an, das Strafgericht habe sich mit den Ausführungen der Beschwerdeführer in deren Eingabe vom 14. August 2017 und mit den darin gestellten Anträgen auseinandergesetzt. Dies betreffe namentlich den Antrag auf Einvernahme des damaligen Untersuchungsrichters. Eine Verletzung des Anspruchs auf rechtliches Gehör sei nicht ersichtlich (angefochtenes Urteil S. 7).</w:t>
      </w:r>
    </w:p>
    <w:p>
      <w:r>
        <w:rPr>
          <w:b/>
        </w:rPr>
        <w:t>E. 5.3</w:t>
      </w:r>
    </w:p>
    <w:p>
      <w:r>
        <w:t>Die Vorinstanz verweist in diesem Punkt auf den Beschluss des Strafgerichts Zug. Dieses ist zum Schluss gelangt, aus der Anklageschrift, den Urteilen des Strafgerichts und des Obergerichts des Kantons Zug aus den Jahren 2004 und 2005 sowie aus den Urteilen des Bundesgerichts vom 15. Juni 2006 gehe der für das Nachverfahren relevante Sachverhalt hinreichend hervor (angefochtenes Urteil S. 8; erstinstanzlicher Beschluss S. 31).</w:t>
      </w:r>
    </w:p>
    <w:p>
      <w:r>
        <w:t>Die Abweisung des Antrags auf Einvernahme des damaligen Untersuchungsrichters in antizipierter Beweiswürdigung scheint nicht schlechterdings unhaltbar. Zwar ist die Behörde aufgrund von Art. 29 Abs. 2 BV , Art. 3 Abs. 2 lit. c StPO verpflichtet, die ihr rechtzeitig und formrichtig angebotenen Beweismittel abzunehmen. Das hindert das Gericht indes nicht, von der Abnahme beantragter Beweismittel abzusehen, wenn es aufgrund der bereits abgenommenen Beweise zur Überzeugung gelangt, der rechtlich erhebliche Sachverhalt sei genügend abgeklärt, und es überdies in willkürfreier antizipierter Würdigung der zusätzlich beantragten Beweise annehmen kann, seine Überzeugung werde durch weitere Beweiserhebungen nicht mehr geändert ( BGE 143 III 297 E. 9.3.2 ; 141 I 60 E. 3.3 ; 136 I 229 E. 5.3; je mit Hinweisen; vgl. auch Art. 139 Abs. 2 StPO ).</w:t>
      </w:r>
    </w:p>
    <w:p>
      <w:r>
        <w:t>Im zu beurteilenden Fall ist entgegen der Auffassung der Beschwerdeführer nicht ersichtlich, was die Einvernahme des früheren Untersuchungsrichters zur Erhellung des relevanten Sachverhalts hätte beitragen können, zumal der Grund für die Aufteilung der Strafverfahren für die Frage, ob die Anforderungen an einen Forderungstitel im Sinne von Art. 73 StGB erfüllt sind, ohne Bedeutung ist.</w:t>
      </w:r>
    </w:p>
    <w:p>
      <w:r>
        <w:t>Die Beschwerde ist auch in diesem Punkt unbegründet.</w:t>
      </w:r>
    </w:p>
    <w:p>
      <w:r>
        <w:rPr>
          <w:b/>
        </w:rPr>
        <w:t>E. 6</w:t>
      </w:r>
    </w:p>
    <w:p>
      <w:r>
        <w:t>Aus diesen Gründen ist die Beschwerde abzuweisen, soweit darauf eingetreten werden kann. Bei diesem Ausgang tragen die Beschwerdeführer die Kosten des bundesgerichtlichen Verfahrens unter solidarischer Haftbarkeit ( Art. 66 Abs. 1 BGG ). Mit dem Entscheid in der Sache wird das subeventualiter gestellte Gesuch um Sistierung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