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6B_1353/2016 vom 11. Januar 2017</w:t>
      </w:r>
    </w:p>
    <w:p>
      <w:r>
        <w:t>Bundesgericht, 2017-01-11, FR</w:t>
      </w:r>
    </w:p>
    <w:p>
      <w:r>
        <w:rPr>
          <w:b/>
        </w:rPr>
        <w:t xml:space="preserve">Quelle: </w:t>
      </w:r>
      <w:r>
        <w:t>https://mcp.opencaselaw.ch/entscheid/bger_6B_1353_2016</w:t>
      </w:r>
    </w:p>
    <w:p>
      <w:r>
        <w:t>FR: TF 6B_1353/2016 du 11 janvier 2017</w:t>
      </w:r>
    </w:p>
    <w:p>
      <w:r>
        <w:t>IT: TF 6B_1353/2016 del 11 gennaio 2017</w:t>
      </w:r>
    </w:p>
    <w:p>
      <w:pPr>
        <w:pStyle w:val="Heading2"/>
      </w:pPr>
      <w:r>
        <w:t>Erwägungen</w:t>
      </w:r>
    </w:p>
    <w:p>
      <w:r>
        <w:rPr>
          <w:b/>
        </w:rPr>
        <w:t>E. 1</w:t>
      </w:r>
    </w:p>
    <w:p>
      <w:r>
        <w:t>Par arrêt du 26 octobre 2016, la Chambre pénale de recours de la Cour de justice genevoise a rejeté le recours de X.________ contre l'ordonnance de non-entrée en matière rendue le 21 avril 2016 sur sa plainte contre A.________ pour menaces et injures. X.________ recourt en matière pénale au Tribunal fédéral contre cet arrêt. Dans ce cadre, elle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La recourante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art. 106 al. 2 LTF ).</w:t>
      </w:r>
    </w:p>
    <w:p>
      <w:r>
        <w:rPr>
          <w:b/>
        </w:rPr>
        <w:t>E. 2.3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Dans la mesure où la recourante se plaint d'être condamnée aux frais de justice sans avoir été entendue, elle ne soulève aucun grief recevable au sens des art. 42 al. 2 et 106 al. 2 LTF.</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 de succès, l'assistance judiciaire ne peut être accordée ( art. 64 al. 1 LTF ). La recourante,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