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1351/2022 vom 12. Dezember 2022</w:t>
      </w:r>
    </w:p>
    <w:p>
      <w:r>
        <w:t>Bundesgericht, 2022-12-12, FR</w:t>
      </w:r>
    </w:p>
    <w:p>
      <w:r>
        <w:rPr>
          <w:b/>
        </w:rPr>
        <w:t xml:space="preserve">Quelle: </w:t>
      </w:r>
      <w:r>
        <w:t>https://mcp.opencaselaw.ch/entscheid/bger_6B_1351_2022</w:t>
      </w:r>
    </w:p>
    <w:p>
      <w:r>
        <w:t>FR: TF 6B 1351/2022 du 12 décembre 2022</w:t>
      </w:r>
    </w:p>
    <w:p>
      <w:r>
        <w:t>IT: TF 6B 1351/2022 del 12 dicembre 2022</w:t>
      </w:r>
    </w:p>
    <w:p>
      <w:pPr>
        <w:pStyle w:val="Heading2"/>
      </w:pPr>
      <w:r>
        <w:t>Regeste</w:t>
      </w:r>
    </w:p>
    <w:p>
      <w:r>
        <w:t>Irrecevabilité formelle du recours en matière pénale (ordonnance de non-entrée en matière) | Procédure pénale</w:t>
      </w:r>
    </w:p>
    <w:p>
      <w:pPr>
        <w:pStyle w:val="Heading2"/>
      </w:pPr>
      <w:r>
        <w:t>Erwägungen</w:t>
      </w:r>
    </w:p>
    <w:p>
      <w:r>
        <w:rPr>
          <w:b/>
        </w:rPr>
        <w:t>E. 1</w:t>
      </w:r>
    </w:p>
    <w:p>
      <w:r>
        <w:t>Par arrêt du 14 octobre 2022, la Chambre pénale de recours de la Cour de justice de la République et canton de Genève a rejeté le recours formé par A.________ contre l'ordonnance du 25 avril 2022 par laquelle le Ministère public genevois a refusé d'entrer en matière sur sa plainte pénale déposée le 5 octobre 2021 contre inconnu pour menaces ( art. 180 CP ).</w:t>
      </w:r>
    </w:p>
    <w:p>
      <w:r>
        <w:rPr>
          <w:b/>
        </w:rPr>
        <w:t>E. 2</w:t>
      </w:r>
    </w:p>
    <w:p>
      <w:r>
        <w:t>A.________ forme un recours en matière pénale au Tribunal fédéral contre cet arrêt en concluant, en substance, à son annulation et au renvoi de la cause à l'autorité précédente pour nouvelle décision.</w:t>
      </w:r>
    </w:p>
    <w:p>
      <w:r>
        <w:rPr>
          <w:b/>
        </w:rPr>
        <w:t>E. 3</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En l'espèce, le recourant, qui indique recourir "pour ne pas passer de victime à accusé", ne consacre aucun développement à la question de sa qualité pour recourir au Tribunal fédéral sous l'angle de l'art. 81 al. 1 let. a et b ch. 5 LTF. Il n'expose en particulier pas en quoi consiste les prétentions civiles qui seraient les siennes à l'encontre de la personne qu'il met en cause.</w:t>
      </w:r>
    </w:p>
    <w:p>
      <w:r>
        <w:rPr>
          <w:b/>
        </w:rPr>
        <w:t>E. 4</w:t>
      </w:r>
    </w:p>
    <w:p>
      <w:r>
        <w:t>Dans la perspective d'une éventuelle violation d'un droit de procédure entièrement séparé du fond équivalant à un déni de justice formel (cf. ATF 141 IV 1 consid. 1.1; 136 IV 29 consid. 1.9 et les réf. citées), le recourant invoque que la cour cantonale s'est fondée sur des moyens de preuve qu'il estime nouveaux, à savoir un second rapport de police accompagné des procès-verbaux des auditions de la personne mise en cause et de son amie. Cela étant, le recourant ne développe aucune argumentation spécifique quant à une éventuelle violation d'un droit de procédure en lien avec ces moyens de preuve qui, au demeurant, ne sont pas nouveaux, étant observé qu'ils ont été pris en compte par le ministère public au moment de rendre l'ordonnance du 25 avril 2022 et que le recourant a pu faire valoir ses griefs, tirés de son droit d'être entendu notamment, dans le cadre de son recours auprès de la cour cantonale (cf. arrêt attaqué, consid. 3 et 4, p. 4 ss).</w:t>
      </w:r>
    </w:p>
    <w:p>
      <w:r>
        <w:rPr>
          <w:b/>
        </w:rPr>
        <w:t>E. 5</w:t>
      </w:r>
    </w:p>
    <w:p>
      <w:r>
        <w:t>Enfin, le recourant n'invoque aucun moyen au sujet d'une éventuelle violation de son droit à la plainte (art. 81 al. 1 let. a et b ch. 6 LTF).</w:t>
      </w:r>
    </w:p>
    <w:p>
      <w:r>
        <w:rPr>
          <w:b/>
        </w:rPr>
        <w:t>E. 6</w:t>
      </w:r>
    </w:p>
    <w:p>
      <w:r>
        <w:t>Faute de satisfaire aux conditions de recevabilité d'un recours en matière pénale au Tribunal fédéral (art. 42 al. 1 et 2 et 106 al. 2 LTF), le recours doit être écarté en application de l' art. 108 al. 1 let. a et b LTF . Le recourant, qui succombe, supporte les frais de justice (cf. art. 65 al. 2 et 66 al. 1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