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134/2015 vom 7. Mai 2015</w:t>
      </w:r>
    </w:p>
    <w:p>
      <w:r>
        <w:t>Bundesgericht, 2015-05-07, DE</w:t>
      </w:r>
    </w:p>
    <w:p>
      <w:r>
        <w:rPr>
          <w:b/>
        </w:rPr>
        <w:t xml:space="preserve">Quelle: </w:t>
      </w:r>
      <w:r>
        <w:t>https://mcp.opencaselaw.ch/entscheid/bger_6B_134_2015</w:t>
      </w:r>
    </w:p>
    <w:p>
      <w:r>
        <w:t>FR: TF 6B 134/2015 du 7 mai 2015</w:t>
      </w:r>
    </w:p>
    <w:p>
      <w:r>
        <w:t>IT: TF 6B 134/2015 del 7 maggio 2015</w:t>
      </w:r>
    </w:p>
    <w:p>
      <w:pPr>
        <w:pStyle w:val="Heading2"/>
      </w:pPr>
      <w:r>
        <w:t>Regeste</w:t>
      </w:r>
    </w:p>
    <w:p>
      <w:r>
        <w:t>Einstellung (Verletzung des Geschäfts- und Berufsgeheimnisses)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Einstellung eines Verfahrens, hat die Privatklägerschaft nicht notwendigerweise bereits vor den kantonalen Behörden eine Zivilforderung erhoben. Selbst wenn dies geschehen ist (vgl. Art. 119 Abs. 2 lit. b StPO ), werden in der Einstellungsverfügung keine Zivilklagen behandelt ( Art. 320 Abs. 3 StPO ). In jedem Fall muss die Privatklägerschaft im Verfahren vor Bundesgericht darlegen, aus welchen Gründen sich der angefochtene Entscheid inwiefern auf welche Zivilforderungen auswirken kann. Das Bundesgericht stellt an die Begründung des Beschwerderechts strenge Anforderungen. Genügt die Beschwerde diesen Begründungsanforderungen nicht, kann darauf nur eingetreten werden, wenn aufgrund der Natur der untersuchten Straftat ohne Weiteres ersichtlich ist, um welche Zivilforderungen es geht ( BGE 141 IV 1 E. 1.1 mit Hinweisen; Urteil 6B_828/2014 vom 21. April 2015 E. 1).</w:t>
      </w:r>
    </w:p>
    <w:p>
      <w:r>
        <w:rPr>
          <w:b/>
        </w:rPr>
        <w:t>E. 1.2</w:t>
      </w:r>
    </w:p>
    <w:p>
      <w:r>
        <w:t>Aus dem angefochtenen Beschluss ergibt sich nicht, dass der Beschwerdeführer eine Zivilforderung gegen den Beschwerdegegner erhoben hätte. Der Beschwerdeführer hat sich im kantonalen Verfahren als Privatkläger konstituiert. Dabei verlangte er Schadenersatz, der noch "nicht quantifizierbar", und eine Genugtuung, die noch "zu definieren" sei. Vor Bundesgericht äussert sich der anwaltlich vertretene Beschwerdeführer mit keinem Wort zu seinem Beschwerderecht, geschweige denn zu den Zivilansprüchen, die er konkret geltend machen will. Damit genügt er den Begründungsanforderungen nicht. Nach der Rechtsprechung muss sich der angefochtene Entscheid auf die Beurteilung der im Strafverfahren adhäsionsweise geltend gemachten oder noch geltend zu machenden Zivilforderungen auswirken (Urteile 6B_1168/2014 vom 13. Februar 2015 E. 1.2 und 6B_481/2014 vom 13. August 2014 E. 5). Dies zeigt der Beschwerdeführer nicht auf. Auch lässt der Vorwurf der Verletzung des Geschäfts- oder Berufsgeheimnisses nicht auf den ersten Blick erkennen, um welche Zivilforderung es gehen könnte.</w:t>
      </w:r>
    </w:p>
    <w:p>
      <w:r>
        <w:rPr>
          <w:b/>
        </w:rPr>
        <w:t>E. 1.3</w:t>
      </w:r>
    </w:p>
    <w:p>
      <w:r>
        <w:t>Unbekümmert um das fehlende Beschwerderecht in der Sache selbst kann die Privatklägerschaft die Verletzung von Verfahrensrechten geltend machen, deren Missachtung eine formelle Rechtsverweigerung darstellt. Zulässig sind Rügen formeller Natur, die von der Prüfung der Sache selber getrennt werden können ( BGE 138 IV 248 E. 2; 135 II 430 E. 3.2; Urteile 6B_331/2015 vom 15. April 2015 E. 4; 6B_641/2013 vom 12. Dezember 2013 E. 1.3.1; je mit Hinweisen). Derartige Rügen erhebt der Beschwerdeführer nicht. Ebenso wenig macht er geltend, sein Strafantragsrecht sei verletzt (vgl. Art. 81 Abs. 1 lit. b Ziff. 6 BGG).</w:t>
      </w:r>
    </w:p>
    <w:p>
      <w:r>
        <w:rPr>
          <w:b/>
        </w:rPr>
        <w:t>E. 2</w:t>
      </w:r>
    </w:p>
    <w:p>
      <w:r>
        <w:t>Auf die Beschwerde ist nicht einzutreten. Bei diesem Ausgang sind die Gerichtskosten dem Beschwerdeführer aufzuerlegen ( Art. 66 Abs. 1 Satz 1 BGG ). Dem Beschwerdegegner ist keine Entschädigung auszurichten, weil er vor Bundesgericht keine Umtriebe hatte.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