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6B_1348/2017 vom 22. Januar 2018</w:t>
      </w:r>
    </w:p>
    <w:p>
      <w:r>
        <w:t>Bundesgericht, 2018-01-22, FR</w:t>
      </w:r>
    </w:p>
    <w:p>
      <w:r>
        <w:rPr>
          <w:b/>
        </w:rPr>
        <w:t xml:space="preserve">Quelle: </w:t>
      </w:r>
      <w:r>
        <w:t>https://mcp.opencaselaw.ch/entscheid/bger_6B_1348_2017</w:t>
      </w:r>
    </w:p>
    <w:p>
      <w:r>
        <w:t>FR: TF 6B_1348/2017 du 22 janvier 2018</w:t>
      </w:r>
    </w:p>
    <w:p>
      <w:r>
        <w:t>IT: TF 6B_1348/2017 del 22 gennaio 2018</w:t>
      </w:r>
    </w:p>
    <w:p>
      <w:pPr>
        <w:pStyle w:val="Heading2"/>
      </w:pPr>
      <w:r>
        <w:t>Erwägungen</w:t>
      </w:r>
    </w:p>
    <w:p>
      <w:r>
        <w:rPr>
          <w:b/>
        </w:rPr>
        <w:t>E. 1</w:t>
      </w:r>
    </w:p>
    <w:p>
      <w:r>
        <w:t>Le recourant discute les conditions de l'internement ordonné sur la base de l' art. 64 al. 1 let. b CP .</w:t>
      </w:r>
    </w:p>
    <w:p>
      <w:r>
        <w:rPr>
          <w:b/>
        </w:rPr>
        <w:t>E. 1.1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rPr>
          <w:b/>
        </w:rPr>
        <w:t>E. 1.1.1</w:t>
      </w:r>
    </w:p>
    <w:p>
      <w:r>
        <w:t>L'internement fondé sur l' art. 64 CP suppose que l'auteur ait commis l'une des infractions énumérées à l'al. 1 de cette disposition, et qu'il ait par là porté ou voulu porter gravement atteinte à l'intégrité physique, psychique ou sexuelle d'autrui. 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à savoir une mesure thérapeutique institutionnelle - apparaisse vouée à l'échec (let. b).</w:t>
      </w:r>
    </w:p>
    <w:p>
      <w:r>
        <w:t>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p. 70; 135 IV 49 consid. 1.1.2 p. 53).</w:t>
      </w:r>
    </w:p>
    <w:p>
      <w:r>
        <w:t>En présence d'un trouble psychiatrique, l'internement constitue, conformément au principe de proportionnalité consacré par l' art. 56 al. 2 CP , une mesure subsidiaire aux mesures institutionnelles prévues par l' art. 59 CP .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 interné dans un établissement d'exécution des peines (cf. ATF 134 IV 315 consid. 3.2 p. 32; également ATF 140 IV 1 consid. 3.2.4 p. 9).</w:t>
      </w:r>
    </w:p>
    <w:p>
      <w:r>
        <w:rPr>
          <w:b/>
        </w:rPr>
        <w:t>E. 1.1.2</w:t>
      </w:r>
    </w:p>
    <w:p>
      <w:r>
        <w:t>Aux termes de l' art. 59 CP , lorsque l'auteur souffre d'un grave trouble mental, le juge peut ordonner un traitement institutionnel si l'auteur a commis un crime ou un délit en relation avec ce trouble (al. 1 let. a) et s'il est à prévoir que cette mesure le détournera de nouvelles infractions en relation avec ce trouble (al. 1 let. b). Le traitement institutionnel s'effectue dans un établissement psychiatrique approprié ou dans un établissement d'exécution des mesures (al. 2). Il est exécuté dans un établissement fermé tant qu'il y a lieu de craindre que l'auteur ne s'enfuie ou ne commette de nouvelles infractions. Il peut aussi être effectué dans un établissement pénitentiaire au sens de l' art. 76 al. 2 CP dans la mesure où le traitement thérapeutique nécessaire est assuré par du personnel qualifié (al. 3).</w:t>
      </w:r>
    </w:p>
    <w:p>
      <w:r>
        <w:t>Selon la jurisprudence, la condition posée par l' art. 59 al. 1 let. b CP qu'il soit à prévoir que la mesure détournera l'intéressé de nouvelles infractions en relation avec son trouble est réalisée lorsque, au moment de la décision, il est suffisamment vraisemblable qu'un traitement institutionnel entraînera dans les cinq ans de sa durée normale une réduction nette du risque de récidive ( ATF 140 IV 1 consid. 3.2.4 p. 9; 134 IV 315 consid. 3.4.1 p. 321 s.). La possibilité vague d'une diminution du risque ou l'espoir d'une diminution seulement minimale de ce risque ne sont en revanche pas suffisants (cf. ATF 141 IV 1 consid. 3.2.4 p. 8 s.; 134 IV 315 consid. 3.4.1 p. 321). L'exigence d'un tel pronostic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6B_954/2016 du 28 septembre 2017 consid. 1.1.2; 6B_1307/2015 du 9 décembre 2016 consid. 4.1.3).</w:t>
      </w:r>
    </w:p>
    <w:p>
      <w:r>
        <w:rPr>
          <w:b/>
        </w:rPr>
        <w:t>E. 1.1.3</w:t>
      </w:r>
    </w:p>
    <w:p>
      <w:r>
        <w:t>Pour ordonner la mesure d'internement prévue à l' art. 64 CP , le juge se fonde sur une expertise. Celle-ci doit se déterminer sur la nécessité et les chances de succès d'un traitement, la vraisemblance que l'auteur commette d'autres infractions et la nature de celles-ci, et sur les possibilités de faire exécuter la mesure ( art. 56 al. 3 CP ). Lorsqu'une mesure d'internement est envisagée, l'expertise doit donc indiquer s'il faut s'attendre avec une haute probabilité à la commission de futures infractions et le type d'infractions concernées (arrêt 6B_346/2016 du 31 janvier 2017 consid. 3.2 et les références citées).</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t>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6B_346/2016 du 31 janvier 2017 consid. 3.2 et les références citées).</w:t>
      </w:r>
    </w:p>
    <w:p>
      <w:r>
        <w:t>Savoir si le risque de récidive est qualifié est une question juridique (cf. arrêts 6B_1028/2014 du 17 juillet 2015 consid. 3.5; 6B_664/2013 du 16 décembre 2013 consid. 2.4). Toutefois les questions psychiatrique et juridique sont souvent difficiles à distinguer en pratique. Il est clair que la tâche principale d'une expertise médicolégale est de clarifier l'état psychique de l'intéressé et de poser un pronostic (arrêts 6B_319/2017 du 28 septembre 2017 consid. 1.1; 6B_708/2015 du 22 octobre 2015 consid. 3.3, non publié in ATF 142 IV 1 ).</w:t>
      </w:r>
    </w:p>
    <w:p>
      <w:r>
        <w:t>En matière de pronostic, le principe " in dubio pro reo " ne s'applique pas ( ATF 127 IV 1 consid. 2a p. 5; plus récemment arrêt 6B_954/2016 du 28 septembre 2017 consid. 1.1.3).</w:t>
      </w:r>
    </w:p>
    <w:p>
      <w:r>
        <w:rPr>
          <w:b/>
        </w:rPr>
        <w:t>E. 2</w:t>
      </w:r>
    </w:p>
    <w:p>
      <w:r>
        <w:t>Le recourant affirme que la cour cantonale a erré en considérant que la mesure prévue à l' art. 59 CP semblait vouée à l'échec, au sens de l' art. 64 al. 1 let. b CP .</w:t>
      </w:r>
    </w:p>
    <w:p>
      <w:r>
        <w:rPr>
          <w:b/>
        </w:rPr>
        <w:t>E. 2.1</w:t>
      </w:r>
    </w:p>
    <w:p>
      <w:r>
        <w:t>Dans un premier moyen, il soutient que la cour cantonale est tombée dans l'arbitraire en retenant que les experts avaient répondu par la négative quant à une diminution du risque de récidive dans un délai de cinq ans.</w:t>
      </w:r>
    </w:p>
    <w:p>
      <w:r>
        <w:rPr>
          <w:b/>
        </w:rPr>
        <w:t>E. 2.1.1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w:t>
      </w:r>
    </w:p>
    <w:p>
      <w:r>
        <w:rPr>
          <w:b/>
        </w:rPr>
        <w:t>E. 2.1.2</w:t>
      </w:r>
    </w:p>
    <w:p>
      <w:r>
        <w:t>La cour cantonale a constaté que les experts concluaient à la possibilité d'un traitement médical, de nature institutionnelle, à même de diminuer le risque de récidive élevé, comprenant des actes hétéro-agressifs à l'instar notamment de la tentative de meurtre du 10 octobre 2014. Si la composante dyssociale du trouble de la personnalité du recourant ne répondait effectivement pas ou peu aux traitements psychiatriques actuels, il pouvait en aller différemment des caractéristiques impulsives et de perte de contrôle (capacité d'inhibition). Bien qu'il faille selon eux, à teneur du rapport complémentaire du 3 juillet 2017, attendre un travail thérapeutique de "</w:t>
      </w:r>
    </w:p>
    <w:p>
      <w:r>
        <w:t>très longue durée ", eu égard au grave trouble de personnalité, et que l'issue de ce travail thérapeutique spécifique "</w:t>
      </w:r>
    </w:p>
    <w:p>
      <w:r>
        <w:t>demeure à ce point incertaine ", une mesure thérapeutique en milieu fermé, au sens de l' art. 59 al. 3 CP était préconisée. Interrogés sur les chances de succès d'une telle mesure dans le délai de cinq ans, les experts ont répondu que " [c]</w:t>
      </w:r>
    </w:p>
    <w:p>
      <w:r>
        <w:t>es approches possibles sur le plan thérapeutique permettraient peut-être une évolution de la structure psychique, sans garantie à long terme. I</w:t>
      </w:r>
    </w:p>
    <w:p>
      <w:r>
        <w:t>l s'agissait en tout cas et évidemment de thérapie à très long terme, en milieu fermé, allant bien au-delà de cinq ans (...).</w:t>
      </w:r>
    </w:p>
    <w:p>
      <w:r>
        <w:t>Comme ils avaient jusqu'à présent constaté nombre d'épisodes hétéro-agressifs en prison, il serait possible de voir dans les prochaines années l'effet d'une mesure sur ce genre de comportement. " (arrêt attaqué consid. 2.2.3 p. 23-24).</w:t>
      </w:r>
    </w:p>
    <w:p>
      <w:r>
        <w:rPr>
          <w:b/>
        </w:rPr>
        <w:t>E. 2.1.3</w:t>
      </w:r>
    </w:p>
    <w:p>
      <w:r>
        <w:t>La cour cantonale a ainsi pris acte de la possibilité d'un traitement médical à même de diminuer le risque de récidive élevé, ainsi que du fait que la thérapie serait de très longue durée et irait en tous les cas bien au-delà de cinq ans. Elle en a déduit qu'il n'était en l'espèce pas suffisamment vraisemblable qu'un traitement institutionnel entraîne, dans les cinq ans de sa durée normale, une réduction nette du risque que l'intéressé commette, en raison de son trouble mental, un crime prévu à l' art. 64 CP . Ce faisant, elle n'a pas prêté aux experts des réponses qu'ils n'avaient pas données s'agissant du délai dans lequel le risque de récidive pouvait être diminué, mais elle a procédé à sa propre appréciation des conditions de la mesure en se fondant sur les éléments de fait apportés par l'expertise. Le grief d'arbitraire est infondé.</w:t>
      </w:r>
    </w:p>
    <w:p>
      <w:r>
        <w:rPr>
          <w:b/>
        </w:rPr>
        <w:t>E. 2.2</w:t>
      </w:r>
    </w:p>
    <w:p>
      <w:r>
        <w:t>Il reste à examiner si la cour cantonale était fondée à écarter la vraisemblance d'une réduction nette du risque de récidive dans les cinq ans, ce qui excluait le prononcé de la mesure de l' art. 59 CP . Le recourant soutient à cet égard que selon les experts, le risque de récidive pouvait être diminué en traitant la caractéristique de l'impulsivité.</w:t>
      </w:r>
    </w:p>
    <w:p>
      <w:r>
        <w:rPr>
          <w:b/>
        </w:rPr>
        <w:t>E. 2.2.1</w:t>
      </w:r>
    </w:p>
    <w:p>
      <w:r>
        <w:t>Les experts ont indiqué que si la composante dyssociale du trouble de la personnalité du recourant ne répondait pas ou peu aux traitements psychiatriques actuels, il en allait différemment des caractéristiques impulsives et de perte de contrôle que révélait le complément d'expertise (rapport d'expertise du 3 juillet 2017 p. 14; arrêt attaqué consid. C.b p. 8). Un travail sur l'impulsivité pouvait avoir un impact sur les trois autres traits de la personnalité de l'expertisé (procès-verbal d'audience du 2 octobre 2017 p. 8; arrêt attaqué consid. C.d.b p. 11).</w:t>
      </w:r>
    </w:p>
    <w:p>
      <w:r>
        <w:t>Cependant, et quoi qu'en dise le recourant, il n'est pas avéré que la caractéristique d'impulsivité soit en grande partie à l'origine de son passage à l'acte. En effet, les experts ont relevé que s'agissant de la tentative de meurtre, la problématique paranoïaque était toujours aussi présente lors de leur seconde évaluation (rapport d'expertise p. 11; arrêt attaqué consid. C.b p. 6). A l'audience, ils ont précisé qu'il n'était pas possible de dire lequel des quatre traits de personnalité diagnostiqués (paranoïaques, narcissiques, antisociaux et impulsifs) serait au premier plan dans une situation délicate où l'expertisé serait ou se sentirait agressé, contesté ou mis en doute (procès-verbal d'audience p. 8; arrêt attaqué consid. C.d.b p. 10-11). A la question de savoir quelle était la part d'impulsivité et de perte de contrôle dans le comportement du recourant qui a consisté à quitter les lieux après une première altercation avec B.________ avant d'y revenir quelques minutes plus tard muni d'une arme, les experts ont répondu qu'il subsistait des parts d'ombre dans son récit et qu'ils n'avaient pas plus d'explications aujourd'hui sur les éléments qui pouvaient rester incohérents (procès-verbal d'audience p. 8). Mais surtout, après prise de connaissance des rapports des établissements de G.________ et de H.________ lors des débats, les experts ont changé leur lecture psycho-pathologique, autrement dit de la structure psychique de l'expertisé. La découverte de deux armes dans sa cellule, qu'il ne leur avait pas mentionné, les amenait à conclure qu'il était plus difficile de parler d'impulsivité face à des actes pensés, prémédités (procès-verbal d'audience p. 5; arrêt attaqué consid. C.d.b p. 11). A cet égard, il est précisé que même si le recourant persiste à nier que le rasoir trouvé dans sa cellule lui appartenait, son recours contre la sanction prononcée pour ce fait a été définitivement rejeté (cf. arrêt 6B_346/2017 du 8 juin 2017). Par ailleurs, s'il soutient avoir taillé la fourchette en pointe pour se curer les dents, le rapport d'incident relève qu'il s'est dirigé vers un agent de détention avec ladite fourchette (arrêt attaqué consid. C. c.a. p. 9).</w:t>
      </w:r>
    </w:p>
    <w:p>
      <w:r>
        <w:rPr>
          <w:b/>
        </w:rPr>
        <w:t>E. 2.2.2</w:t>
      </w:r>
    </w:p>
    <w:p>
      <w:r>
        <w:t>Sur la base de ce qui précède, la cour cantonale pouvait considérer que même si la dimension d'impulsivité du recourant était accessible à un traitement thérapeutique, contrairement à la composante dyssociale de son trouble, il n'apparaissait pas encore suffisamment vraisemblable qu'un travail sur cette caractéristique permettrait de réduire nettement le risque de récidive dans un délai de cinq ans. En effet, compte tenu des incidents survenus en prison et de la manière dont se sont déroulés les événements ayant conduit à la tentative de meurtre, qui ont révélé une manière d'agir pensée, préméditée, le rôle joué par l'impulsivité dans le passage à l'acte hétéro-agressif doit être relativisé. En définitive, il y a lieu de retenir, au regard des constatations de l'expertise sur la gravité des troubles, la durée des soins nécessaires et l'incertitude quant à l'issue d'une thérapie (cf. consid. 2.1.2 supra), que si les experts n'ont pas fermé la porte à toute possibilité de traitement efficace à très long terme, ils se sont toutefois refusés à parler de diminution nette du risque de récidive à l'issue de la durée normale de la mesure de l' art. 59 CP .</w:t>
      </w:r>
    </w:p>
    <w:p>
      <w:r>
        <w:t>Il s'ensuit que la cour cantonale n'a pas violé le droit fédéral en retenant que l'on se trouvait dans le cas d'une "</w:t>
      </w:r>
    </w:p>
    <w:p>
      <w:r>
        <w:t>possibilité vague d'une diminution du risque ou l'espoir d'une diminution seulement minimale de ce risque ", lesquels n'étaient pas suffisants, en application de la jurisprudence (consid. 1.1.2 supra), pour prononcer une mesure fondée sur l' art. 59 CP .</w:t>
      </w:r>
    </w:p>
    <w:p>
      <w:r>
        <w:rPr>
          <w:b/>
        </w:rPr>
        <w:t>E. 3</w:t>
      </w:r>
    </w:p>
    <w:p>
      <w:r>
        <w:t>Selon le recourant, l'existence d'un risque de récidive concernant des infractions du même genre que celle qui l'expose à l'internement ne pouvait être déduite de l'expertise.</w:t>
      </w:r>
    </w:p>
    <w:p>
      <w:r>
        <w:rPr>
          <w:b/>
        </w:rPr>
        <w:t>E. 3.1</w:t>
      </w:r>
    </w:p>
    <w:p>
      <w:r>
        <w:t>La cour cantonale a constaté que s'agissant de la réponse à la question II. 1.b. du complément d'expertise (recte: II. 1. a: "</w:t>
      </w:r>
    </w:p>
    <w:p>
      <w:r>
        <w:t>Le risque de récidive d'infractions du même genre [que celles figurant à l' art. 64 al.1 CP ]</w:t>
      </w:r>
    </w:p>
    <w:p>
      <w:r>
        <w:t>est-il à mettre en relation avec les caractéristiques de la personnalité de la personne concernée, les circonstances dans lesquelles elle a commis l'infraction et son vécu? "), il était répondu par l'affirmative (arrêt attaqué consid. C.d.b. p. 10). Par ailleurs, lors de l'audience, il a été demandé aux experts s'ils confirmaient l'existence d'un risque de récidive élevé "</w:t>
      </w:r>
    </w:p>
    <w:p>
      <w:r>
        <w:t>s'agissant de telles agressions ", en se référant à la tentative de meurtre, ce à quoi les experts ont répondu "</w:t>
      </w:r>
    </w:p>
    <w:p>
      <w:r>
        <w:t>Nous confirmons. " (procès-verbal d'audience p. 5). Enfin, sur question du conseil du recourant, les experts ont expliqué ce qui suit: " [...]</w:t>
      </w:r>
    </w:p>
    <w:p>
      <w:r>
        <w:t>nous avons qualifié d'élevé le risque de récidive d'infraction contre l'intégrité corporelle. Il nous est difficile d'être plus précis s'agissant de la nature des lésions à craindre. L'issue d'une bagarre comporte en effet une grande part d'inconnu. Nous avons pu constater que s'agissant de M. B.________, les coups ont été donnés sans retenue, d'où la crainte à l'avenir d'autres lésions sévères. " (procès-verbal d'audience p. 10; arrêt attaqué consid. C.d.b. p. 11).</w:t>
      </w:r>
    </w:p>
    <w:p>
      <w:r>
        <w:rPr>
          <w:b/>
        </w:rPr>
        <w:t>E. 3.2</w:t>
      </w:r>
    </w:p>
    <w:p>
      <w:r>
        <w:t>Il ressort de ce qui précède que les experts ont constaté l'existence d'un risque de récidive élevé en lien avec des actes du genre de l'infraction commise, à savoir la tentative de meurtre. On comprend en particulier des explications données lors de l'audience que le recourant est susceptible de commettre des atteintes à l'intégrité corporelle occasionnant des lésions graves.</w:t>
      </w:r>
    </w:p>
    <w:p>
      <w:r>
        <w:t>La cour cantonale pouvait ainsi conclure à l'existence d'un risque de récidive d'infractions graves contre l'intégrité psychique, physique ou sexuelle au sens de l' art. 64 CP , n'étant au demeurant pas contesté que ce risque est élevé.</w:t>
      </w:r>
    </w:p>
    <w:p>
      <w:r>
        <w:rPr>
          <w:b/>
        </w:rPr>
        <w:t>E. 4</w:t>
      </w:r>
    </w:p>
    <w:p>
      <w:r>
        <w:t>Pour le surplus, le recourant ne discute pas les autres conditions d'application de l' art. 64 al. 1 let. b CP . En conséquence, il y a lieu de rejeter le recours.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