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6B_1346/2021 vom 16. Dezember 2021</w:t>
      </w:r>
    </w:p>
    <w:p>
      <w:r>
        <w:t>Bundesgericht, 2021-12-16, FR</w:t>
      </w:r>
    </w:p>
    <w:p>
      <w:r>
        <w:rPr>
          <w:b/>
        </w:rPr>
        <w:t xml:space="preserve">Quelle: </w:t>
      </w:r>
      <w:r>
        <w:t>https://mcp.opencaselaw.ch/entscheid/bger_6B_1346_2021</w:t>
      </w:r>
    </w:p>
    <w:p>
      <w:r>
        <w:t>FR: TF 6B_1346/2021 du 16 décembre 2021</w:t>
      </w:r>
    </w:p>
    <w:p>
      <w:r>
        <w:t>IT: TF 6B_1346/2021 del 16 dicembre 2021</w:t>
      </w:r>
    </w:p>
    <w:p>
      <w:pPr>
        <w:pStyle w:val="Heading2"/>
      </w:pPr>
      <w:r>
        <w:t>Erwägungen</w:t>
      </w:r>
    </w:p>
    <w:p>
      <w:r>
        <w:rPr>
          <w:b/>
        </w:rPr>
        <w:t>E. 1</w:t>
      </w:r>
    </w:p>
    <w:p>
      <w:r>
        <w:t>Par arrêt du 9 novembre 2021, la Chambre administrative de la Cour de justice de la République et canton de Genève a déclaré irrecevable le recours formé par A.________ contre les courriers des 5 et 18 mars et 27 avril 2021 émanant respectivement du directeur de l'Office cantonal de la détention et du gardien chef adjoint de l'établissement de Curabilis.</w:t>
      </w:r>
    </w:p>
    <w:p>
      <w:r>
        <w:t>En substance, la cour cantonale a estimé que ces courriers étaient purement informatifs, rappelant à A.________ l'offre de média accessible aux détenus de Curabilis, et ne constituaient par conséquent pas des décisions. Ils n'étaient ainsi pas susceptibles de recours.</w:t>
      </w:r>
    </w:p>
    <w:p>
      <w:r>
        <w:t>A.________ forme un recours au Tribunal fédéral.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p. 336).</w:t>
      </w:r>
    </w:p>
    <w:p>
      <w:r>
        <w:t>En l'espèce, le recourant ne formule aucune conclusion. En outre, son argumentation, pour autant qu'intelligible, ne porte aucunement sur le bien-fondé de l'irrecevabilité du recours cantonal mais s'en prend au fond du litige. Le recourant ne démontre ainsi pas en quoi les considérations cantonales violeraient le droit et ne présente aucun grief répondant aux exigences de motivation de l' art. 42 al. 2 LTF .</w:t>
      </w:r>
    </w:p>
    <w:p>
      <w:r>
        <w:rPr>
          <w:b/>
        </w:rPr>
        <w:t>E. 3</w:t>
      </w:r>
    </w:p>
    <w:p>
      <w:r>
        <w:t>Faute de satisfaire aux conditions de recevabilité d'un recours en matière pénale au Tribunal fédéral ( art. 42 al. 1 et 2 LTF ), le recours doit être écarté en application de l' art. 108 al. 1 let. a et b LTF . Il peut être exceptionnellement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