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1345/2019 vom 9. Dezember 2019</w:t>
      </w:r>
    </w:p>
    <w:p>
      <w:r>
        <w:t>Bundesgericht, 2019-12-09, FR</w:t>
      </w:r>
    </w:p>
    <w:p>
      <w:r>
        <w:rPr>
          <w:b/>
        </w:rPr>
        <w:t xml:space="preserve">Quelle: </w:t>
      </w:r>
      <w:r>
        <w:t>https://mcp.opencaselaw.ch/entscheid/bger_6B_1345_2019</w:t>
      </w:r>
    </w:p>
    <w:p>
      <w:r>
        <w:t>FR: TF 6B 1345/2019 du 9 décembre 2019</w:t>
      </w:r>
    </w:p>
    <w:p>
      <w:r>
        <w:t>IT: TF 6B 1345/2019 del 9 dicembre 2019</w:t>
      </w:r>
    </w:p>
    <w:p>
      <w:pPr>
        <w:pStyle w:val="Heading2"/>
      </w:pPr>
      <w:r>
        <w:t>Regeste</w:t>
      </w:r>
    </w:p>
    <w:p>
      <w:r>
        <w:t>Ordonnance de non-entrée en matière pénale (violation du secret bancaire); irrecevabilité formelle du recours en matière pénale | Procédure pénale</w:t>
      </w:r>
    </w:p>
    <w:p>
      <w:pPr>
        <w:pStyle w:val="Heading2"/>
      </w:pPr>
      <w:r>
        <w:t>Erwägungen</w:t>
      </w:r>
    </w:p>
    <w:p>
      <w:r>
        <w:rPr>
          <w:b/>
        </w:rPr>
        <w:t>E. 1</w:t>
      </w:r>
    </w:p>
    <w:p>
      <w:r>
        <w:t>Par arrêt du 24 octobre 2019, la Chambre pénale de recours de la Cour de justice de la République et canton de Genève a rejeté le recours formé par la Banque A.________ contre l'ordonnance rendue le 24 mai 2019 par laquelle le Ministère public genevois a refusé d'entrer en matière sur la plainte déposée par celle-ci contre B.________ pour violation du secret bancaire et violation du secret de fabrication ou du secret commercial. La Banque A.________ forme un recours en matière pénale au Tribunal fédéral contre l'arrêt précité. Elle conclut, avec suite de frais et dépens, principalement à sa réforme en ce sens qu'ordre est donné au ministère public d'ouvrir une instruction contre B.________, subsidiairement, à son annulation et au renvoi de la cause à l'autorité précédente pour nouvelle décision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invoque des infractions distinctes, elle doit mentionner par rapport à chacune d'elles en quoi consiste son dommage (arrêts 6B_1174/2019 du 23 octobre 2019 consid. 2.1; 6B_1026/2019 du 3 octobre 2019 consid. 2.1; 6B_705/2019 du 5 septembre 2019 consid. 1.1).</w:t>
      </w:r>
    </w:p>
    <w:p>
      <w:r>
        <w:rPr>
          <w:b/>
        </w:rPr>
        <w:t>E. 2.2</w:t>
      </w:r>
    </w:p>
    <w:p>
      <w:r>
        <w:t>En substance, la recourante reproche à l'intimée d'avoir transmis, par courriels, des informations concernant la clientèle sur sa boîte électronique personnelle et sur celle de son mari et de s'être ainsi rendue coupable de violation du secret bancaire au sens de l' art. 47 LB et de violation du secret commercial au sens de l' art. 162 CP . La recourante, qui invoque des infractions distinctes, ne mentionne pas, par rapport à chacune d'elles, en quoi consiste son dommage. En outre, s'agissant des prétentions civiles, elle fait valoir des frais d'avocat et des frais relatifs à l'intervention d'un huissier " qui a récupéré les dossiers auprès de la Banque C.________ ". Selon une jurisprudence bien établie, les prétentions relatives au remboursement de frais d'avocat ne constituent pas des prétentions civiles au sens de l'art. 81 al. 1 let. b ch. 5 LTF (cf. parmi de nombreux arrêts: 6B_810/2019 du 22 juillet 2019 consid. 1.2; 6B_711/2019 du 25 juin 2019 consid. 2.2; 6B_317/2019 du 21 mars 2019 consid. 2.2). Pour le reste, on ne perçoit pas - et la recourante ne fournit aucune explication à cet égard - en quoi l'intervention de l'huissier a consisté, ni en quoi elle serait en lien avec les faits, plus particulièrement en quoi de telles dépenses pourraient constituer un dommage résultant directement des agissements dénoncés, soit une atteinte en rapport de causalité directe avec l'infraction poursuivie (cf. par exemple arrêt 6B_694/2019 du 11 juillet 2019 consid. 2.1 et les références citées). Par conséquent, l'absence d'explications suffisantes sur la question des prétentions civiles dénie la qualité pour recourir de la recourante sur le fond de la cause.</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Tel n'est pas le cas en l'occurrence.</w:t>
      </w:r>
    </w:p>
    <w:p>
      <w:r>
        <w:rPr>
          <w:b/>
        </w:rPr>
        <w:t>E. 3</w:t>
      </w:r>
    </w:p>
    <w:p>
      <w:r>
        <w:t>Sur le vu de ce qui précède, le recours doit être déclaré irrecevable selon la procédure simplifiée prévue par l' art. 108 al. 1 let. a et b LTF .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