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6B_1343/2015 vom 14. Januar 2016</w:t>
      </w:r>
    </w:p>
    <w:p>
      <w:r>
        <w:t>Bundesgericht, 2016-01-14, DE</w:t>
      </w:r>
    </w:p>
    <w:p>
      <w:r>
        <w:rPr>
          <w:b/>
        </w:rPr>
        <w:t xml:space="preserve">Quelle: </w:t>
      </w:r>
      <w:r>
        <w:t>https://mcp.opencaselaw.ch/entscheid/bger_6B_1343_2015</w:t>
      </w:r>
    </w:p>
    <w:p>
      <w:r>
        <w:t>FR: TF 6B_1343/2015 du 14 janvier 2016</w:t>
      </w:r>
    </w:p>
    <w:p>
      <w:r>
        <w:t>IT: TF 6B_1343/2015 del 14 gennaio 2016</w:t>
      </w:r>
    </w:p>
    <w:p>
      <w:pPr>
        <w:pStyle w:val="Heading2"/>
      </w:pPr>
      <w:r>
        <w:t>Erwägungen</w:t>
      </w:r>
    </w:p>
    <w:p>
      <w:r>
        <w:rPr>
          <w:b/>
        </w:rPr>
        <w:t>E. 1</w:t>
      </w:r>
    </w:p>
    <w:p>
      <w:r>
        <w:t>Am 30. April 2015 erstattete der Beschwerdeführer gegen die Verantwortlichen einer Aktiengesellschaft Anzeige wegen unwahren Angaben über kaufmännisches Gewerbe, Verletzung des Fabrikations-/Geschäftsgeheimnisses, Erschleichung einer Leistung und arglistiger Vermögensschädigung bzw. Widerhandlung gegen das Urheberrechtsgesetz. Er wirft den Beschuldigten im Wesentlichen vor, sie hätten seine Erfindung, die er in Zusammenarbeit mit den Beschuldigten entwickelt habe, gestohlen bzw. sie würden diese ohne seine finanzielle Beteiligung kommerziell verwenden.</w:t>
      </w:r>
    </w:p>
    <w:p>
      <w:r>
        <w:t>Am 21. Mai 2015 nahm die Staatsanwaltschaft Basel-Stadt die Strafanzeige nicht an die Hand. Eine dagegen gerichtete Beschwerde wies das Appellationsgericht des Kantons Basel-Stadt am 12. November 2015 ab, soweit es darauf eintrat.</w:t>
      </w:r>
    </w:p>
    <w:p>
      <w:r>
        <w:t>Der Beschwerdeführer wendet sich ans Bundesgericht und beantragt, der Entscheid des Appellationsgerichts vom 12. November 2015 und die Nichtanhandnahmeverfügung der Staatsanwaltschaft vom 21. Mai 2015 seien aufzuheben. Die Sache sei neu zu beurteilen unter Einbezug seiner Beweisführung und Dokumentation.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 seiner Legitimation und insbesondere zur Frage der Zivilforderung nicht. Um welche es gehen könnte, ist aufgrund der Natur der angeklagten Straftaten auch nicht ohne Weiteres ersichtlich. Auf die Beschwerde ist mangels hinreichend dargetaner Legitimation des Beschwerdeführers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